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/>
        <w:jc w:val="center"/>
        <w:rPr>
          <w:rFonts w:ascii="Times New Roman" w:hAnsi="Times New Roman" w:cs="Arial"/>
          <w:b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>ANEXO II</w:t>
      </w:r>
    </w:p>
    <w:p>
      <w:pPr>
        <w:pStyle w:val="Normal"/>
        <w:spacing w:lineRule="auto" w:line="276"/>
        <w:jc w:val="center"/>
        <w:rPr>
          <w:rFonts w:ascii="Times New Roman" w:hAnsi="Times New Roman" w:cs="Arial"/>
          <w:b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>TERMO DE REFERÊNCIA – LEI 14.133/21</w:t>
      </w:r>
    </w:p>
    <w:p>
      <w:pPr>
        <w:pStyle w:val="Normal"/>
        <w:spacing w:lineRule="auto" w:line="276"/>
        <w:jc w:val="center"/>
        <w:rPr/>
      </w:pPr>
      <w:r>
        <w:rPr>
          <w:b/>
          <w:bCs/>
          <w:sz w:val="24"/>
          <w:szCs w:val="24"/>
        </w:rPr>
        <w:t xml:space="preserve">DISPENSA FÍSICA DE LICITAÇÃO – </w:t>
      </w:r>
      <w:r>
        <w:rPr>
          <w:rFonts w:cs="Arial"/>
          <w:b/>
          <w:bCs/>
          <w:sz w:val="24"/>
          <w:szCs w:val="24"/>
          <w:u w:val="none"/>
        </w:rPr>
        <w:t>CONTRATAÇÃO DE EMPRESA ESPECIALIZADA NA PRESTAÇÃO DE ASSESSORIA FINANCEIRA</w:t>
      </w:r>
    </w:p>
    <w:p>
      <w:pPr>
        <w:pStyle w:val="Normal"/>
        <w:spacing w:lineRule="auto" w:line="276"/>
        <w:jc w:val="center"/>
        <w:rPr/>
      </w:pPr>
      <w:r>
        <w:rPr>
          <w:rFonts w:cs="Arial"/>
          <w:b/>
          <w:bCs/>
          <w:iCs/>
          <w:color w:val="000000"/>
          <w:sz w:val="24"/>
          <w:szCs w:val="24"/>
        </w:rPr>
        <w:t xml:space="preserve">Processo Administrativo nº </w:t>
      </w:r>
      <w:r>
        <w:rPr>
          <w:b/>
          <w:bCs/>
          <w:iCs/>
          <w:color w:val="000000"/>
          <w:sz w:val="24"/>
          <w:szCs w:val="24"/>
        </w:rPr>
        <w:t>088/2024</w:t>
      </w:r>
    </w:p>
    <w:p>
      <w:pPr>
        <w:pStyle w:val="Normal"/>
        <w:spacing w:lineRule="auto" w:line="276"/>
        <w:jc w:val="center"/>
        <w:rPr>
          <w:rFonts w:ascii="Times New Roman" w:hAnsi="Times New Roman" w:cs="Arial"/>
          <w:b/>
          <w:b/>
          <w:sz w:val="24"/>
          <w:szCs w:val="24"/>
          <w:u w:val="single"/>
        </w:rPr>
      </w:pPr>
      <w:r>
        <w:rPr>
          <w:rFonts w:cs="Arial"/>
          <w:b/>
          <w:sz w:val="24"/>
          <w:szCs w:val="24"/>
          <w:u w:val="single"/>
        </w:rPr>
      </w:r>
    </w:p>
    <w:p>
      <w:pPr>
        <w:pStyle w:val="Nivel1"/>
        <w:spacing w:lineRule="auto" w:line="276" w:before="0"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  <w:t>1. DAS CONDIÇÕES GERAIS DA CONTRATAÇÃO</w:t>
      </w:r>
    </w:p>
    <w:p>
      <w:pPr>
        <w:pStyle w:val="ListParagraph"/>
        <w:tabs>
          <w:tab w:val="clear" w:pos="720"/>
          <w:tab w:val="left" w:pos="0" w:leader="none"/>
        </w:tabs>
        <w:suppressAutoHyphens w:val="false"/>
        <w:spacing w:lineRule="auto" w:line="276"/>
        <w:ind w:left="0" w:hanging="0"/>
        <w:jc w:val="both"/>
        <w:rPr/>
      </w:pPr>
      <w:r>
        <w:rPr>
          <w:rFonts w:ascii="Times New Roman" w:hAnsi="Times New Roman"/>
          <w:b/>
          <w:bCs/>
          <w:iCs/>
          <w:sz w:val="24"/>
          <w:szCs w:val="24"/>
        </w:rPr>
        <w:t xml:space="preserve">1.1 </w:t>
      </w:r>
      <w:r>
        <w:rPr>
          <w:rFonts w:eastAsia="Times New Roman" w:cs="Times New Roman" w:ascii="Times New Roman" w:hAnsi="Times New Roman"/>
          <w:b w:val="false"/>
          <w:bCs w:val="false"/>
          <w:iCs/>
          <w:color w:val="000000"/>
          <w:sz w:val="24"/>
          <w:szCs w:val="24"/>
        </w:rPr>
        <w:t xml:space="preserve">O objeto do presente instrumento é a </w:t>
      </w:r>
      <w:r>
        <w:rPr>
          <w:rFonts w:eastAsia="Times New Roman" w:cs="Times New Roman" w:ascii="Times New Roman" w:hAnsi="Times New Roman"/>
          <w:b w:val="false"/>
          <w:bCs w:val="false"/>
          <w:iCs/>
          <w:color w:val="000000"/>
          <w:sz w:val="22"/>
          <w:szCs w:val="22"/>
        </w:rPr>
        <w:t>Contratação de e</w:t>
      </w:r>
      <w:r>
        <w:rPr>
          <w:rFonts w:eastAsia="Times New Roman" w:cs="Times New Roman" w:ascii="Times New Roman" w:hAnsi="Times New Roman"/>
          <w:b w:val="false"/>
          <w:bCs w:val="false"/>
          <w:iCs/>
          <w:color w:val="000000"/>
          <w:sz w:val="23"/>
          <w:szCs w:val="23"/>
        </w:rPr>
        <w:t>mpresa especializada para a prestação de serviços de Assessoria e Consultoria de Investimentos no acompanhamento da Carteira de Investimentos, com o objetivo do cumprimento da Meta Atuarial e do Plano Anual de Investimentos – PAI, conforme exigência da Resolução CMN 4.963/2021 e atualizações</w:t>
      </w:r>
      <w:r>
        <w:rPr>
          <w:rFonts w:eastAsia="Times New Roman" w:cs="Times New Roman" w:ascii="Times New Roman" w:hAnsi="Times New Roman"/>
          <w:b w:val="false"/>
          <w:bCs w:val="false"/>
          <w:iCs/>
          <w:color w:val="000000"/>
          <w:sz w:val="24"/>
          <w:szCs w:val="24"/>
        </w:rPr>
        <w:t>.</w:t>
      </w:r>
    </w:p>
    <w:tbl>
      <w:tblPr>
        <w:tblStyle w:val="3"/>
        <w:tblW w:w="9570" w:type="dxa"/>
        <w:jc w:val="left"/>
        <w:tblInd w:w="11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675"/>
        <w:gridCol w:w="4662"/>
        <w:gridCol w:w="1178"/>
        <w:gridCol w:w="850"/>
        <w:gridCol w:w="1245"/>
        <w:gridCol w:w="959"/>
      </w:tblGrid>
      <w:tr>
        <w:trPr>
          <w:trHeight w:val="840" w:hRule="atLeast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466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/>
            </w:pPr>
            <w:r>
              <w:rPr>
                <w:rFonts w:eastAsia="Times New Roman" w:cs="Times New Roman"/>
                <w:b/>
                <w:sz w:val="22"/>
                <w:szCs w:val="22"/>
              </w:rPr>
              <w:t>DESCRIÇÃO/</w:t>
            </w:r>
            <w:r>
              <w:rPr>
                <w:rFonts w:eastAsia="Times New Roman" w:cs="Times New Roman"/>
                <w:b/>
                <w:sz w:val="22"/>
                <w:szCs w:val="22"/>
                <w:lang w:val="pt-BR"/>
              </w:rPr>
              <w:t xml:space="preserve"> </w:t>
            </w:r>
            <w:r>
              <w:rPr>
                <w:rFonts w:eastAsia="Times New Roman" w:cs="Times New Roman"/>
                <w:b/>
                <w:sz w:val="22"/>
                <w:szCs w:val="22"/>
              </w:rPr>
              <w:t>ESPECIFICAÇÃO</w:t>
            </w:r>
          </w:p>
        </w:tc>
        <w:tc>
          <w:tcPr>
            <w:tcW w:w="117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sz w:val="22"/>
                <w:szCs w:val="22"/>
              </w:rPr>
              <w:t>UNIDADE DE MEDIDA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0" w:after="160"/>
              <w:jc w:val="center"/>
              <w:rPr>
                <w:rFonts w:ascii="Times New Roman" w:hAnsi="Times New Roman" w:eastAsia="Times New Roman" w:cs="Times New Roman"/>
                <w:b/>
                <w:b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sz w:val="22"/>
                <w:szCs w:val="22"/>
              </w:rPr>
              <w:t>QUANT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0" w:after="160"/>
              <w:jc w:val="center"/>
              <w:rPr>
                <w:rFonts w:ascii="Times New Roman" w:hAnsi="Times New Roman" w:eastAsia="Times New Roman" w:cs="Times New Roman"/>
                <w:b/>
                <w:b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sz w:val="22"/>
                <w:szCs w:val="22"/>
              </w:rPr>
              <w:t>R$ Unitário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0" w:after="160"/>
              <w:jc w:val="center"/>
              <w:rPr>
                <w:rFonts w:ascii="Times New Roman" w:hAnsi="Times New Roman" w:eastAsia="Times New Roman" w:cs="Times New Roman"/>
                <w:b/>
                <w:b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sz w:val="22"/>
                <w:szCs w:val="22"/>
              </w:rPr>
              <w:t>R$ Total</w:t>
            </w:r>
          </w:p>
        </w:tc>
      </w:tr>
      <w:tr>
        <w:trPr>
          <w:trHeight w:val="1187" w:hRule="atLeast"/>
        </w:trPr>
        <w:tc>
          <w:tcPr>
            <w:tcW w:w="67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/>
                <w:sz w:val="21"/>
                <w:szCs w:val="21"/>
              </w:rPr>
            </w:r>
          </w:p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/>
                <w:sz w:val="21"/>
                <w:szCs w:val="21"/>
              </w:rPr>
            </w:r>
          </w:p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01</w:t>
            </w:r>
          </w:p>
        </w:tc>
        <w:tc>
          <w:tcPr>
            <w:tcW w:w="4662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PargrafodaLista"/>
              <w:widowControl w:val="false"/>
              <w:snapToGrid w:val="false"/>
              <w:spacing w:lineRule="auto" w:line="276" w:before="0" w:after="20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sz w:val="21"/>
                <w:szCs w:val="21"/>
              </w:rPr>
            </w:pP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  <w:t>ELABORAÇÃO DO PLANO ANUAL DE INVESTIMENTOS</w:t>
            </w:r>
          </w:p>
          <w:p>
            <w:pPr>
              <w:pStyle w:val="PargrafodaLista"/>
              <w:widowControl w:val="false"/>
              <w:snapToGrid w:val="false"/>
              <w:spacing w:lineRule="auto" w:line="276" w:before="0" w:after="200"/>
              <w:ind w:left="0" w:right="0" w:hanging="0"/>
              <w:contextualSpacing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</w:r>
          </w:p>
          <w:p>
            <w:pPr>
              <w:pStyle w:val="PargrafodaLista"/>
              <w:widowControl w:val="false"/>
              <w:snapToGrid w:val="false"/>
              <w:spacing w:lineRule="auto" w:line="276" w:before="0" w:after="20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sz w:val="21"/>
                <w:szCs w:val="21"/>
              </w:rPr>
            </w:pP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  <w:t>Conforme exige a Resolução CMN 4.963/2021. Preenchimento via CADPREVWEB;</w:t>
            </w:r>
          </w:p>
        </w:tc>
        <w:tc>
          <w:tcPr>
            <w:tcW w:w="1178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  <w:lang w:val="pt-BR"/>
              </w:rPr>
            </w:pPr>
            <w:r>
              <w:rPr>
                <w:rFonts w:eastAsia="Times New Roman" w:cs="Times New Roman"/>
                <w:sz w:val="21"/>
                <w:szCs w:val="21"/>
                <w:lang w:val="pt-BR"/>
              </w:rPr>
            </w:r>
          </w:p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  <w:lang w:val="pt-BR"/>
              </w:rPr>
            </w:pPr>
            <w:r>
              <w:rPr>
                <w:rFonts w:eastAsia="Times New Roman" w:cs="Times New Roman"/>
                <w:sz w:val="21"/>
                <w:szCs w:val="21"/>
                <w:lang w:val="pt-BR"/>
              </w:rPr>
              <w:t>SERV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  <w:lang w:val="pt-BR"/>
              </w:rPr>
            </w:pPr>
            <w:r>
              <w:rPr>
                <w:rFonts w:eastAsia="Times New Roman" w:cs="Times New Roman"/>
                <w:sz w:val="21"/>
                <w:szCs w:val="21"/>
                <w:lang w:val="pt-BR"/>
              </w:rPr>
            </w:r>
          </w:p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  <w:lang w:val="pt-BR"/>
              </w:rPr>
            </w:pPr>
            <w:r>
              <w:rPr>
                <w:rFonts w:eastAsia="Times New Roman" w:cs="Times New Roman"/>
                <w:sz w:val="21"/>
                <w:szCs w:val="21"/>
                <w:lang w:val="pt-BR"/>
              </w:rPr>
              <w:t>01</w:t>
            </w:r>
          </w:p>
        </w:tc>
        <w:tc>
          <w:tcPr>
            <w:tcW w:w="1245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  <w:lang w:val="pt-BR"/>
              </w:rPr>
            </w:pPr>
            <w:r>
              <w:rPr>
                <w:rFonts w:eastAsia="Times New Roman" w:cs="Times New Roman"/>
                <w:sz w:val="21"/>
                <w:szCs w:val="21"/>
                <w:lang w:val="pt-BR"/>
              </w:rPr>
              <w:t>1.932,09</w:t>
            </w:r>
          </w:p>
        </w:tc>
        <w:tc>
          <w:tcPr>
            <w:tcW w:w="95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  <w:lang w:val="pt-BR"/>
              </w:rPr>
            </w:pPr>
            <w:r>
              <w:rPr>
                <w:rFonts w:eastAsia="Times New Roman" w:cs="Times New Roman"/>
                <w:sz w:val="21"/>
                <w:szCs w:val="21"/>
                <w:lang w:val="pt-BR"/>
              </w:rPr>
              <w:t>1.932,09</w:t>
            </w:r>
          </w:p>
        </w:tc>
      </w:tr>
      <w:tr>
        <w:trPr>
          <w:trHeight w:val="1187" w:hRule="atLeast"/>
        </w:trPr>
        <w:tc>
          <w:tcPr>
            <w:tcW w:w="67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/>
                <w:sz w:val="21"/>
                <w:szCs w:val="21"/>
              </w:rPr>
            </w:r>
          </w:p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/>
                <w:sz w:val="21"/>
                <w:szCs w:val="21"/>
              </w:rPr>
            </w:r>
          </w:p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02</w:t>
            </w:r>
          </w:p>
        </w:tc>
        <w:tc>
          <w:tcPr>
            <w:tcW w:w="4662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0" w:after="0"/>
              <w:jc w:val="left"/>
              <w:rPr>
                <w:rFonts w:ascii="Times New Roman" w:hAnsi="Times New Roman"/>
                <w:b w:val="false"/>
                <w:b w:val="false"/>
                <w:bCs w:val="false"/>
                <w:sz w:val="21"/>
                <w:szCs w:val="21"/>
              </w:rPr>
            </w:pPr>
            <w:r>
              <w:rPr>
                <w:b w:val="false"/>
                <w:bCs w:val="false"/>
                <w:sz w:val="21"/>
                <w:szCs w:val="21"/>
              </w:rPr>
              <w:t>RELATÓRIO COMPLETO ANUAL</w:t>
            </w:r>
          </w:p>
          <w:p>
            <w:pPr>
              <w:pStyle w:val="Normal"/>
              <w:widowControl w:val="false"/>
              <w:spacing w:lineRule="auto" w:line="276" w:before="0" w:after="0"/>
              <w:jc w:val="lef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</w:r>
          </w:p>
          <w:p>
            <w:pPr>
              <w:pStyle w:val="Normal"/>
              <w:widowControl w:val="false"/>
              <w:spacing w:lineRule="auto" w:line="276" w:before="0" w:after="135"/>
              <w:jc w:val="both"/>
              <w:rPr>
                <w:rFonts w:ascii="Times New Roman" w:hAnsi="Times New Roman" w:eastAsia="Times New Roman"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sz w:val="21"/>
                <w:szCs w:val="21"/>
                <w:lang w:eastAsia="pt-BR"/>
              </w:rPr>
            </w:pPr>
            <w:r>
              <w:rPr>
                <w:rFonts w:eastAsia="Times New Roman" w:cs="Arial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  <w:lang w:eastAsia="pt-BR"/>
              </w:rPr>
              <w:t>Conforme exigido pela Portaria 1.467/2022 e no Balanço Anual, da situação financeira da carteira de investimentos, analisando o cumprimento da Meta Atuarial e a manutenção do poder de compra dos recursos financeiros;</w:t>
            </w:r>
          </w:p>
        </w:tc>
        <w:tc>
          <w:tcPr>
            <w:tcW w:w="1178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  <w:lang w:val="pt-BR"/>
              </w:rPr>
            </w:pPr>
            <w:r>
              <w:rPr>
                <w:rFonts w:eastAsia="Times New Roman" w:cs="Times New Roman"/>
                <w:sz w:val="21"/>
                <w:szCs w:val="21"/>
                <w:lang w:val="pt-BR"/>
              </w:rPr>
            </w:r>
          </w:p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  <w:lang w:val="pt-BR"/>
              </w:rPr>
            </w:pPr>
            <w:r>
              <w:rPr>
                <w:rFonts w:eastAsia="Times New Roman" w:cs="Times New Roman"/>
                <w:sz w:val="21"/>
                <w:szCs w:val="21"/>
                <w:lang w:val="pt-BR"/>
              </w:rPr>
              <w:t>SERV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  <w:lang w:val="pt-BR"/>
              </w:rPr>
            </w:pPr>
            <w:r>
              <w:rPr>
                <w:rFonts w:eastAsia="Times New Roman" w:cs="Times New Roman"/>
                <w:sz w:val="21"/>
                <w:szCs w:val="21"/>
                <w:lang w:val="pt-BR"/>
              </w:rPr>
            </w:r>
          </w:p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  <w:lang w:val="pt-BR"/>
              </w:rPr>
            </w:pPr>
            <w:r>
              <w:rPr>
                <w:rFonts w:eastAsia="Times New Roman" w:cs="Times New Roman"/>
                <w:sz w:val="21"/>
                <w:szCs w:val="21"/>
                <w:lang w:val="pt-BR"/>
              </w:rPr>
              <w:t>01</w:t>
            </w:r>
          </w:p>
        </w:tc>
        <w:tc>
          <w:tcPr>
            <w:tcW w:w="1245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  <w:lang w:val="pt-BR"/>
              </w:rPr>
            </w:pPr>
            <w:r>
              <w:rPr>
                <w:rFonts w:eastAsia="Times New Roman" w:cs="Times New Roman"/>
                <w:sz w:val="21"/>
                <w:szCs w:val="21"/>
                <w:lang w:val="pt-BR"/>
              </w:rPr>
              <w:t>1.932,10</w:t>
            </w:r>
          </w:p>
        </w:tc>
        <w:tc>
          <w:tcPr>
            <w:tcW w:w="95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  <w:lang w:val="pt-BR"/>
              </w:rPr>
            </w:pPr>
            <w:r>
              <w:rPr>
                <w:rFonts w:eastAsia="Times New Roman" w:cs="Times New Roman"/>
                <w:sz w:val="21"/>
                <w:szCs w:val="21"/>
                <w:lang w:val="pt-BR"/>
              </w:rPr>
              <w:t>1.932,10</w:t>
            </w:r>
          </w:p>
        </w:tc>
      </w:tr>
      <w:tr>
        <w:trPr>
          <w:trHeight w:val="1187" w:hRule="atLeast"/>
        </w:trPr>
        <w:tc>
          <w:tcPr>
            <w:tcW w:w="67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03</w:t>
            </w:r>
          </w:p>
        </w:tc>
        <w:tc>
          <w:tcPr>
            <w:tcW w:w="4662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PargrafodaLista"/>
              <w:widowControl w:val="false"/>
              <w:snapToGrid w:val="false"/>
              <w:spacing w:lineRule="auto" w:line="276" w:before="0" w:after="200"/>
              <w:ind w:left="0" w:right="0" w:hanging="0"/>
              <w:contextualSpacing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</w:r>
          </w:p>
          <w:p>
            <w:pPr>
              <w:pStyle w:val="PargrafodaLista"/>
              <w:widowControl w:val="false"/>
              <w:snapToGrid w:val="false"/>
              <w:spacing w:lineRule="auto" w:line="276" w:before="0" w:after="20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sz w:val="21"/>
                <w:szCs w:val="21"/>
              </w:rPr>
            </w:pP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  <w:t>DEMONSTRATIVO ANALÍTICO DOS INVESTIMENTOS</w:t>
            </w:r>
          </w:p>
          <w:p>
            <w:pPr>
              <w:pStyle w:val="PargrafodaLista"/>
              <w:widowControl w:val="false"/>
              <w:snapToGrid w:val="false"/>
              <w:spacing w:lineRule="auto" w:line="276" w:before="0" w:after="200"/>
              <w:ind w:left="0" w:right="0" w:hanging="0"/>
              <w:contextualSpacing/>
              <w:jc w:val="both"/>
              <w:rPr/>
            </w:pPr>
            <w:r>
              <w:rPr/>
            </w:r>
          </w:p>
          <w:p>
            <w:pPr>
              <w:pStyle w:val="PargrafodaLista"/>
              <w:widowControl w:val="false"/>
              <w:snapToGrid w:val="false"/>
              <w:spacing w:lineRule="auto" w:line="276" w:before="0" w:after="20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sz w:val="21"/>
                <w:szCs w:val="21"/>
              </w:rPr>
            </w:pP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  <w:t>Exigidos no Balanço Anual pela IN nº 68/2020 do TCE/ES, conforme exigência da portaria MTP 1.467/2022;</w:t>
            </w:r>
          </w:p>
        </w:tc>
        <w:tc>
          <w:tcPr>
            <w:tcW w:w="1178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  <w:lang w:val="pt-BR"/>
              </w:rPr>
            </w:pPr>
            <w:r>
              <w:rPr>
                <w:rFonts w:eastAsia="Times New Roman" w:cs="Times New Roman"/>
                <w:sz w:val="21"/>
                <w:szCs w:val="21"/>
                <w:lang w:val="pt-BR"/>
              </w:rPr>
              <w:t>SERV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  <w:lang w:val="pt-BR"/>
              </w:rPr>
            </w:pPr>
            <w:r>
              <w:rPr>
                <w:rFonts w:eastAsia="Times New Roman" w:cs="Times New Roman"/>
                <w:sz w:val="21"/>
                <w:szCs w:val="21"/>
                <w:lang w:val="pt-BR"/>
              </w:rPr>
              <w:t>01</w:t>
            </w:r>
          </w:p>
        </w:tc>
        <w:tc>
          <w:tcPr>
            <w:tcW w:w="1245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  <w:lang w:val="pt-BR"/>
              </w:rPr>
            </w:pPr>
            <w:r>
              <w:rPr>
                <w:rFonts w:eastAsia="Times New Roman" w:cs="Times New Roman"/>
                <w:sz w:val="21"/>
                <w:szCs w:val="21"/>
                <w:lang w:val="pt-BR"/>
              </w:rPr>
              <w:t>1.932,10</w:t>
            </w:r>
          </w:p>
        </w:tc>
        <w:tc>
          <w:tcPr>
            <w:tcW w:w="95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  <w:lang w:val="pt-BR"/>
              </w:rPr>
            </w:pPr>
            <w:r>
              <w:rPr>
                <w:rFonts w:eastAsia="Times New Roman" w:cs="Times New Roman"/>
                <w:sz w:val="21"/>
                <w:szCs w:val="21"/>
                <w:lang w:val="pt-BR"/>
              </w:rPr>
              <w:t>1.932,10</w:t>
            </w:r>
          </w:p>
        </w:tc>
      </w:tr>
      <w:tr>
        <w:trPr>
          <w:trHeight w:val="1187" w:hRule="atLeast"/>
        </w:trPr>
        <w:tc>
          <w:tcPr>
            <w:tcW w:w="67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/>
                <w:sz w:val="21"/>
                <w:szCs w:val="21"/>
              </w:rPr>
            </w:r>
          </w:p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04</w:t>
            </w:r>
          </w:p>
        </w:tc>
        <w:tc>
          <w:tcPr>
            <w:tcW w:w="4662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PargrafodaLista"/>
              <w:widowControl w:val="false"/>
              <w:snapToGrid w:val="false"/>
              <w:spacing w:lineRule="auto" w:line="276" w:before="0" w:after="20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sz w:val="21"/>
                <w:szCs w:val="21"/>
              </w:rPr>
            </w:pP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  <w:t>NOTAS EXPLICATIVAS</w:t>
            </w:r>
          </w:p>
          <w:p>
            <w:pPr>
              <w:pStyle w:val="PargrafodaLista"/>
              <w:widowControl w:val="false"/>
              <w:snapToGrid w:val="false"/>
              <w:spacing w:lineRule="auto" w:line="276" w:before="0" w:after="20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sz w:val="21"/>
                <w:szCs w:val="21"/>
              </w:rPr>
            </w:pP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</w:r>
          </w:p>
          <w:p>
            <w:pPr>
              <w:pStyle w:val="PargrafodaLista"/>
              <w:widowControl w:val="false"/>
              <w:snapToGrid w:val="false"/>
              <w:spacing w:lineRule="auto" w:line="276" w:before="0" w:after="20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sz w:val="21"/>
                <w:szCs w:val="21"/>
              </w:rPr>
            </w:pP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  <w:t>Sobre os fundos de investimentos, exigidos no Balanço Anual pelo TCE-ES, sobre as Demonstrações Financeiras contendo, dentre outros: a avaliação da situação patrimonial e a avaliação e contabilização dos investimentos; os critérios utilizados para constituições de provisões, depreciações, amortizações e reavaliações, com indicação dos efeitos no patrimônio do RPPS;</w:t>
            </w:r>
          </w:p>
        </w:tc>
        <w:tc>
          <w:tcPr>
            <w:tcW w:w="1178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  <w:lang w:val="pt-BR"/>
              </w:rPr>
            </w:pPr>
            <w:r>
              <w:rPr>
                <w:rFonts w:eastAsia="Times New Roman" w:cs="Times New Roman"/>
                <w:sz w:val="21"/>
                <w:szCs w:val="21"/>
                <w:lang w:val="pt-BR"/>
              </w:rPr>
              <w:t>SERV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  <w:lang w:val="pt-BR"/>
              </w:rPr>
            </w:pPr>
            <w:r>
              <w:rPr>
                <w:rFonts w:eastAsia="Times New Roman" w:cs="Times New Roman"/>
                <w:sz w:val="21"/>
                <w:szCs w:val="21"/>
                <w:lang w:val="pt-BR"/>
              </w:rPr>
              <w:t>01</w:t>
            </w:r>
          </w:p>
        </w:tc>
        <w:tc>
          <w:tcPr>
            <w:tcW w:w="1245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  <w:lang w:val="pt-BR"/>
              </w:rPr>
            </w:pPr>
            <w:r>
              <w:rPr>
                <w:rFonts w:eastAsia="Times New Roman" w:cs="Times New Roman"/>
                <w:sz w:val="21"/>
                <w:szCs w:val="21"/>
                <w:lang w:val="pt-BR"/>
              </w:rPr>
              <w:t>1.932,10</w:t>
            </w:r>
          </w:p>
        </w:tc>
        <w:tc>
          <w:tcPr>
            <w:tcW w:w="95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  <w:lang w:val="pt-BR"/>
              </w:rPr>
            </w:pPr>
            <w:r>
              <w:rPr>
                <w:rFonts w:eastAsia="Times New Roman" w:cs="Times New Roman"/>
                <w:sz w:val="21"/>
                <w:szCs w:val="21"/>
                <w:lang w:val="pt-BR"/>
              </w:rPr>
              <w:t>1.932,10</w:t>
            </w:r>
          </w:p>
        </w:tc>
      </w:tr>
      <w:tr>
        <w:trPr>
          <w:trHeight w:val="1187" w:hRule="atLeast"/>
        </w:trPr>
        <w:tc>
          <w:tcPr>
            <w:tcW w:w="67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/>
                <w:sz w:val="21"/>
                <w:szCs w:val="21"/>
              </w:rPr>
            </w:r>
          </w:p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05</w:t>
            </w:r>
          </w:p>
        </w:tc>
        <w:tc>
          <w:tcPr>
            <w:tcW w:w="4662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PargrafodaLista"/>
              <w:widowControl w:val="false"/>
              <w:snapToGrid w:val="false"/>
              <w:spacing w:lineRule="auto" w:line="276" w:before="0" w:after="20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sz w:val="21"/>
                <w:szCs w:val="21"/>
              </w:rPr>
            </w:pP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  <w:t>RELATÓRIOS SEMESTRAIS</w:t>
            </w:r>
          </w:p>
          <w:p>
            <w:pPr>
              <w:pStyle w:val="PargrafodaLista"/>
              <w:widowControl w:val="false"/>
              <w:snapToGrid w:val="false"/>
              <w:spacing w:lineRule="auto" w:line="276" w:before="0" w:after="20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sz w:val="21"/>
                <w:szCs w:val="21"/>
              </w:rPr>
            </w:pP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</w:r>
          </w:p>
          <w:p>
            <w:pPr>
              <w:pStyle w:val="PargrafodaLista"/>
              <w:widowControl w:val="false"/>
              <w:snapToGrid w:val="false"/>
              <w:spacing w:lineRule="auto" w:line="276" w:before="0" w:after="20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sz w:val="21"/>
                <w:szCs w:val="21"/>
              </w:rPr>
            </w:pP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  <w:t>Dos Investimentos, conforme exigido pela Portaria 1.467/2022, detalhando a rentabilidade e os riscos das diversas modalidades de operações realizadas pelo RPPS com título, valores mobiliários e demais ativos alocados nos segmentos de renda fixa, renda variável e imóveis;</w:t>
            </w:r>
          </w:p>
        </w:tc>
        <w:tc>
          <w:tcPr>
            <w:tcW w:w="1178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  <w:lang w:val="pt-BR"/>
              </w:rPr>
            </w:pPr>
            <w:r>
              <w:rPr>
                <w:rFonts w:eastAsia="Times New Roman" w:cs="Times New Roman"/>
                <w:sz w:val="21"/>
                <w:szCs w:val="21"/>
                <w:lang w:val="pt-BR"/>
              </w:rPr>
              <w:t>SERV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  <w:lang w:val="pt-BR"/>
              </w:rPr>
            </w:pPr>
            <w:r>
              <w:rPr>
                <w:rFonts w:eastAsia="Times New Roman" w:cs="Times New Roman"/>
                <w:sz w:val="21"/>
                <w:szCs w:val="21"/>
                <w:lang w:val="pt-BR"/>
              </w:rPr>
              <w:t>01</w:t>
            </w:r>
          </w:p>
        </w:tc>
        <w:tc>
          <w:tcPr>
            <w:tcW w:w="1245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  <w:lang w:val="pt-BR"/>
              </w:rPr>
            </w:pPr>
            <w:r>
              <w:rPr>
                <w:rFonts w:eastAsia="Times New Roman" w:cs="Times New Roman"/>
                <w:sz w:val="21"/>
                <w:szCs w:val="21"/>
                <w:lang w:val="pt-BR"/>
              </w:rPr>
              <w:t>1.932,10</w:t>
            </w:r>
          </w:p>
        </w:tc>
        <w:tc>
          <w:tcPr>
            <w:tcW w:w="95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  <w:lang w:val="pt-BR"/>
              </w:rPr>
            </w:pPr>
            <w:r>
              <w:rPr>
                <w:rFonts w:eastAsia="Times New Roman" w:cs="Times New Roman"/>
                <w:sz w:val="21"/>
                <w:szCs w:val="21"/>
                <w:lang w:val="pt-BR"/>
              </w:rPr>
              <w:t>1.932,10</w:t>
            </w:r>
          </w:p>
        </w:tc>
      </w:tr>
      <w:tr>
        <w:trPr>
          <w:trHeight w:val="1187" w:hRule="atLeast"/>
        </w:trPr>
        <w:tc>
          <w:tcPr>
            <w:tcW w:w="67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06</w:t>
            </w:r>
          </w:p>
        </w:tc>
        <w:tc>
          <w:tcPr>
            <w:tcW w:w="4662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PargrafodaLista"/>
              <w:widowControl w:val="false"/>
              <w:snapToGrid w:val="false"/>
              <w:spacing w:lineRule="auto" w:line="276" w:before="0" w:after="20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sz w:val="21"/>
                <w:szCs w:val="21"/>
              </w:rPr>
            </w:pP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  <w:t>RELATÓRIOS TRIMESTRAIS</w:t>
            </w:r>
          </w:p>
          <w:p>
            <w:pPr>
              <w:pStyle w:val="PargrafodaLista"/>
              <w:widowControl w:val="false"/>
              <w:snapToGrid w:val="false"/>
              <w:spacing w:lineRule="auto" w:line="276" w:before="0" w:after="200"/>
              <w:ind w:left="0" w:right="0" w:hanging="0"/>
              <w:contextualSpacing/>
              <w:jc w:val="both"/>
              <w:rPr/>
            </w:pPr>
            <w:r>
              <w:rPr/>
            </w:r>
          </w:p>
          <w:p>
            <w:pPr>
              <w:pStyle w:val="PargrafodaLista"/>
              <w:widowControl w:val="false"/>
              <w:snapToGrid w:val="false"/>
              <w:spacing w:lineRule="auto" w:line="276" w:before="0" w:after="20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sz w:val="21"/>
                <w:szCs w:val="21"/>
              </w:rPr>
            </w:pP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  <w:t>Dos Investimentos conforme exigido pela Portaria 1.467/2022 e nos Balancetes de Março, Junho, Setembro e Dezembro, pela IN nº 68/2020 do TCE-ES, detalhando a rentabilidade e os riscos das diversas modalidades de operações realizadas pelo RPPS com título, valores mobiliários e demais ativos alocados nos segmentos de renda fixa, renda variável e imóveis;</w:t>
            </w:r>
          </w:p>
        </w:tc>
        <w:tc>
          <w:tcPr>
            <w:tcW w:w="1178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  <w:lang w:val="pt-BR"/>
              </w:rPr>
            </w:pPr>
            <w:r>
              <w:rPr>
                <w:rFonts w:eastAsia="Times New Roman" w:cs="Times New Roman"/>
                <w:sz w:val="21"/>
                <w:szCs w:val="21"/>
                <w:lang w:val="pt-BR"/>
              </w:rPr>
              <w:t>SERV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  <w:lang w:val="pt-BR"/>
              </w:rPr>
            </w:pPr>
            <w:r>
              <w:rPr>
                <w:rFonts w:eastAsia="Times New Roman" w:cs="Times New Roman"/>
                <w:sz w:val="21"/>
                <w:szCs w:val="21"/>
                <w:lang w:val="pt-BR"/>
              </w:rPr>
              <w:t>01</w:t>
            </w:r>
          </w:p>
        </w:tc>
        <w:tc>
          <w:tcPr>
            <w:tcW w:w="1245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  <w:lang w:val="pt-BR"/>
              </w:rPr>
            </w:pPr>
            <w:r>
              <w:rPr>
                <w:rFonts w:eastAsia="Times New Roman" w:cs="Times New Roman"/>
                <w:sz w:val="21"/>
                <w:szCs w:val="21"/>
                <w:lang w:val="pt-BR"/>
              </w:rPr>
              <w:t>1.932,10</w:t>
            </w:r>
          </w:p>
        </w:tc>
        <w:tc>
          <w:tcPr>
            <w:tcW w:w="95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  <w:lang w:val="pt-BR"/>
              </w:rPr>
            </w:pPr>
            <w:r>
              <w:rPr>
                <w:rFonts w:eastAsia="Times New Roman" w:cs="Times New Roman"/>
                <w:sz w:val="21"/>
                <w:szCs w:val="21"/>
                <w:lang w:val="pt-BR"/>
              </w:rPr>
              <w:t>1.932,10</w:t>
            </w:r>
          </w:p>
        </w:tc>
      </w:tr>
      <w:tr>
        <w:trPr>
          <w:trHeight w:val="1187" w:hRule="atLeast"/>
        </w:trPr>
        <w:tc>
          <w:tcPr>
            <w:tcW w:w="67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/>
                <w:sz w:val="21"/>
                <w:szCs w:val="21"/>
              </w:rPr>
            </w:r>
          </w:p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07</w:t>
            </w:r>
          </w:p>
        </w:tc>
        <w:tc>
          <w:tcPr>
            <w:tcW w:w="4662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PargrafodaLista"/>
              <w:widowControl w:val="false"/>
              <w:snapToGrid w:val="false"/>
              <w:spacing w:lineRule="auto" w:line="276" w:before="0" w:after="20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sz w:val="21"/>
                <w:szCs w:val="21"/>
              </w:rPr>
            </w:pP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  <w:t>RELATÓRIOS MENSAIS</w:t>
            </w:r>
          </w:p>
          <w:p>
            <w:pPr>
              <w:pStyle w:val="PargrafodaLista"/>
              <w:widowControl w:val="false"/>
              <w:snapToGrid w:val="false"/>
              <w:spacing w:lineRule="auto" w:line="276" w:before="0" w:after="200"/>
              <w:ind w:left="0" w:right="0" w:hanging="0"/>
              <w:contextualSpacing/>
              <w:jc w:val="both"/>
              <w:rPr/>
            </w:pPr>
            <w:r>
              <w:rPr/>
            </w:r>
          </w:p>
          <w:p>
            <w:pPr>
              <w:pStyle w:val="PargrafodaLista"/>
              <w:widowControl w:val="false"/>
              <w:snapToGrid w:val="false"/>
              <w:spacing w:lineRule="auto" w:line="276" w:before="0" w:after="20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sz w:val="21"/>
                <w:szCs w:val="21"/>
              </w:rPr>
            </w:pP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  <w:t>Dos Investimentos conforme exigido pela Portaria 1.467/2022 e pela IN nº 68/2020 do TCE-ES, analisando as aplicações da Carteira de Investimento do RPPS, sua rentabilidade, o enquadramento dos fundos e sugerindo novas aplicações, caso as pertencentes pelo Instituto não estejam atendendo a necessidade do cumprimento da Meta Atuarial;</w:t>
            </w:r>
          </w:p>
        </w:tc>
        <w:tc>
          <w:tcPr>
            <w:tcW w:w="1178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  <w:lang w:val="pt-BR"/>
              </w:rPr>
            </w:pPr>
            <w:r>
              <w:rPr>
                <w:rFonts w:eastAsia="Times New Roman" w:cs="Times New Roman"/>
                <w:sz w:val="21"/>
                <w:szCs w:val="21"/>
                <w:lang w:val="pt-BR"/>
              </w:rPr>
              <w:t>SERV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  <w:lang w:val="pt-BR"/>
              </w:rPr>
            </w:pPr>
            <w:r>
              <w:rPr>
                <w:rFonts w:eastAsia="Times New Roman" w:cs="Times New Roman"/>
                <w:sz w:val="21"/>
                <w:szCs w:val="21"/>
                <w:lang w:val="pt-BR"/>
              </w:rPr>
              <w:t>01</w:t>
            </w:r>
          </w:p>
        </w:tc>
        <w:tc>
          <w:tcPr>
            <w:tcW w:w="1245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  <w:lang w:val="pt-BR"/>
              </w:rPr>
            </w:pPr>
            <w:r>
              <w:rPr>
                <w:rFonts w:eastAsia="Times New Roman" w:cs="Times New Roman"/>
                <w:sz w:val="21"/>
                <w:szCs w:val="21"/>
                <w:lang w:val="pt-BR"/>
              </w:rPr>
              <w:t>1.932,10</w:t>
            </w:r>
          </w:p>
        </w:tc>
        <w:tc>
          <w:tcPr>
            <w:tcW w:w="95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  <w:lang w:val="pt-BR"/>
              </w:rPr>
            </w:pPr>
            <w:r>
              <w:rPr>
                <w:rFonts w:eastAsia="Times New Roman" w:cs="Times New Roman"/>
                <w:sz w:val="21"/>
                <w:szCs w:val="21"/>
                <w:lang w:val="pt-BR"/>
              </w:rPr>
              <w:t>1.932,10</w:t>
            </w:r>
          </w:p>
        </w:tc>
      </w:tr>
      <w:tr>
        <w:trPr>
          <w:trHeight w:val="1187" w:hRule="atLeast"/>
        </w:trPr>
        <w:tc>
          <w:tcPr>
            <w:tcW w:w="67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08</w:t>
            </w:r>
          </w:p>
        </w:tc>
        <w:tc>
          <w:tcPr>
            <w:tcW w:w="4662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PargrafodaLista"/>
              <w:widowControl w:val="false"/>
              <w:snapToGrid w:val="false"/>
              <w:spacing w:lineRule="auto" w:line="276" w:before="0" w:after="20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sz w:val="21"/>
                <w:szCs w:val="21"/>
              </w:rPr>
            </w:pP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  <w:t>AUXÍLIO NO PREENCHIMENTO DOS MODELOS DE CREDENCIAMENTO</w:t>
            </w:r>
          </w:p>
          <w:p>
            <w:pPr>
              <w:pStyle w:val="PargrafodaLista"/>
              <w:widowControl w:val="false"/>
              <w:snapToGrid w:val="false"/>
              <w:spacing w:lineRule="auto" w:line="276" w:before="0" w:after="20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sz w:val="21"/>
                <w:szCs w:val="21"/>
              </w:rPr>
            </w:pP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</w:r>
          </w:p>
          <w:p>
            <w:pPr>
              <w:pStyle w:val="PargrafodaLista"/>
              <w:widowControl w:val="false"/>
              <w:snapToGrid w:val="false"/>
              <w:spacing w:lineRule="auto" w:line="276" w:before="0" w:after="20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sz w:val="21"/>
                <w:szCs w:val="21"/>
              </w:rPr>
            </w:pP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  <w:t>Auxílio no preenchimento dos Modelos de Credenciamento (Instituição Financeira, Fundos de Investimentos e Prestadores de Serviço) conforme exigido pela Portaria MTP 1.467/2022, disponibilizando as informações como registro de funcionamento emitido pelo Banco Central e pela CVM e qualquer ato impeditivo emitido por estes órgãos, além do histórico dos fundos e de seus responsáveis (Administrador, Gestor e Distribuidor);</w:t>
            </w:r>
          </w:p>
        </w:tc>
        <w:tc>
          <w:tcPr>
            <w:tcW w:w="1178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  <w:lang w:val="pt-BR"/>
              </w:rPr>
            </w:pPr>
            <w:r>
              <w:rPr>
                <w:rFonts w:eastAsia="Times New Roman" w:cs="Times New Roman"/>
                <w:sz w:val="21"/>
                <w:szCs w:val="21"/>
                <w:lang w:val="pt-BR"/>
              </w:rPr>
              <w:t>SERV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  <w:lang w:val="pt-BR"/>
              </w:rPr>
            </w:pPr>
            <w:r>
              <w:rPr>
                <w:rFonts w:eastAsia="Times New Roman" w:cs="Times New Roman"/>
                <w:sz w:val="21"/>
                <w:szCs w:val="21"/>
                <w:lang w:val="pt-BR"/>
              </w:rPr>
              <w:t>01</w:t>
            </w:r>
          </w:p>
        </w:tc>
        <w:tc>
          <w:tcPr>
            <w:tcW w:w="1245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  <w:lang w:val="pt-BR"/>
              </w:rPr>
            </w:pPr>
            <w:r>
              <w:rPr>
                <w:rFonts w:eastAsia="Times New Roman" w:cs="Times New Roman"/>
                <w:sz w:val="21"/>
                <w:szCs w:val="21"/>
                <w:lang w:val="pt-BR"/>
              </w:rPr>
              <w:t>1.932,10</w:t>
            </w:r>
          </w:p>
        </w:tc>
        <w:tc>
          <w:tcPr>
            <w:tcW w:w="95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  <w:lang w:val="pt-BR"/>
              </w:rPr>
            </w:pPr>
            <w:r>
              <w:rPr>
                <w:rFonts w:eastAsia="Times New Roman" w:cs="Times New Roman"/>
                <w:sz w:val="21"/>
                <w:szCs w:val="21"/>
                <w:lang w:val="pt-BR"/>
              </w:rPr>
              <w:t>1.932,10</w:t>
            </w:r>
          </w:p>
        </w:tc>
      </w:tr>
      <w:tr>
        <w:trPr>
          <w:trHeight w:val="1187" w:hRule="atLeast"/>
        </w:trPr>
        <w:tc>
          <w:tcPr>
            <w:tcW w:w="67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09</w:t>
            </w:r>
          </w:p>
        </w:tc>
        <w:tc>
          <w:tcPr>
            <w:tcW w:w="4662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PargrafodaLista"/>
              <w:widowControl w:val="false"/>
              <w:snapToGrid w:val="false"/>
              <w:spacing w:lineRule="auto" w:line="276" w:before="0" w:after="20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sz w:val="21"/>
                <w:szCs w:val="21"/>
              </w:rPr>
            </w:pP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  <w:t>PLANILHA DAIR/CADPREV E APR</w:t>
            </w:r>
          </w:p>
          <w:p>
            <w:pPr>
              <w:pStyle w:val="PargrafodaLista"/>
              <w:widowControl w:val="false"/>
              <w:snapToGrid w:val="false"/>
              <w:spacing w:lineRule="auto" w:line="276" w:before="0" w:after="20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sz w:val="21"/>
                <w:szCs w:val="21"/>
              </w:rPr>
            </w:pP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</w:r>
          </w:p>
          <w:p>
            <w:pPr>
              <w:pStyle w:val="PargrafodaLista"/>
              <w:widowControl w:val="false"/>
              <w:snapToGrid w:val="false"/>
              <w:spacing w:lineRule="auto" w:line="276" w:before="0" w:after="20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sz w:val="21"/>
                <w:szCs w:val="21"/>
              </w:rPr>
            </w:pP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  <w:t>Envio de uma planilha, contendo todas as informações relevantes dos fundos de investimento como: valor da cota, patrimônio líquido, enquadramento perante a Resolução CMN vigente, segmento, taxa de performance, rating, no intuito de auxiliar o preenchimento do DAIR e as APR à cada aplicação e resgate feito pelo RPPS;</w:t>
            </w:r>
          </w:p>
        </w:tc>
        <w:tc>
          <w:tcPr>
            <w:tcW w:w="1178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  <w:lang w:val="pt-BR"/>
              </w:rPr>
            </w:pPr>
            <w:r>
              <w:rPr>
                <w:rFonts w:eastAsia="Times New Roman" w:cs="Times New Roman"/>
                <w:sz w:val="21"/>
                <w:szCs w:val="21"/>
                <w:lang w:val="pt-BR"/>
              </w:rPr>
              <w:t>SERV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  <w:lang w:val="pt-BR"/>
              </w:rPr>
            </w:pPr>
            <w:r>
              <w:rPr>
                <w:rFonts w:eastAsia="Times New Roman" w:cs="Times New Roman"/>
                <w:sz w:val="21"/>
                <w:szCs w:val="21"/>
                <w:lang w:val="pt-BR"/>
              </w:rPr>
              <w:t>01</w:t>
            </w:r>
          </w:p>
        </w:tc>
        <w:tc>
          <w:tcPr>
            <w:tcW w:w="1245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  <w:lang w:val="pt-BR"/>
              </w:rPr>
            </w:pPr>
            <w:r>
              <w:rPr>
                <w:rFonts w:eastAsia="Times New Roman" w:cs="Times New Roman"/>
                <w:sz w:val="21"/>
                <w:szCs w:val="21"/>
                <w:lang w:val="pt-BR"/>
              </w:rPr>
              <w:t>1.932,10</w:t>
            </w:r>
          </w:p>
        </w:tc>
        <w:tc>
          <w:tcPr>
            <w:tcW w:w="95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  <w:lang w:val="pt-BR"/>
              </w:rPr>
            </w:pPr>
            <w:r>
              <w:rPr>
                <w:rFonts w:eastAsia="Times New Roman" w:cs="Times New Roman"/>
                <w:sz w:val="21"/>
                <w:szCs w:val="21"/>
                <w:lang w:val="pt-BR"/>
              </w:rPr>
              <w:t>1.932,10</w:t>
            </w:r>
          </w:p>
        </w:tc>
      </w:tr>
      <w:tr>
        <w:trPr>
          <w:trHeight w:val="1187" w:hRule="atLeast"/>
        </w:trPr>
        <w:tc>
          <w:tcPr>
            <w:tcW w:w="67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10</w:t>
            </w:r>
          </w:p>
        </w:tc>
        <w:tc>
          <w:tcPr>
            <w:tcW w:w="4662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PargrafodaLista"/>
              <w:widowControl w:val="false"/>
              <w:snapToGrid w:val="false"/>
              <w:spacing w:lineRule="auto" w:line="276" w:before="0" w:after="20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sz w:val="21"/>
                <w:szCs w:val="21"/>
              </w:rPr>
            </w:pP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  <w:t>PARECERES AVULSOS</w:t>
            </w:r>
          </w:p>
          <w:p>
            <w:pPr>
              <w:pStyle w:val="PargrafodaLista"/>
              <w:widowControl w:val="false"/>
              <w:snapToGrid w:val="false"/>
              <w:spacing w:lineRule="auto" w:line="276" w:before="0" w:after="20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sz w:val="21"/>
                <w:szCs w:val="21"/>
              </w:rPr>
            </w:pP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</w:r>
          </w:p>
          <w:p>
            <w:pPr>
              <w:pStyle w:val="PargrafodaLista"/>
              <w:widowControl w:val="false"/>
              <w:snapToGrid w:val="false"/>
              <w:spacing w:lineRule="auto" w:line="276" w:before="0" w:after="20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sz w:val="21"/>
                <w:szCs w:val="21"/>
              </w:rPr>
            </w:pP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  <w:t>Analisando novos fundos de investimentos a pedido do gestor do RPPS, limitados a dois pareceres e quando houver qualquer alteração na legislação vigente dos investimentos que envolvem os RPPS e mudanças no cenário macroeconômico;</w:t>
            </w:r>
          </w:p>
        </w:tc>
        <w:tc>
          <w:tcPr>
            <w:tcW w:w="1178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  <w:lang w:val="pt-BR"/>
              </w:rPr>
            </w:pPr>
            <w:r>
              <w:rPr>
                <w:rFonts w:eastAsia="Times New Roman" w:cs="Times New Roman"/>
                <w:sz w:val="21"/>
                <w:szCs w:val="21"/>
                <w:lang w:val="pt-BR"/>
              </w:rPr>
              <w:t>SERV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  <w:lang w:val="pt-BR"/>
              </w:rPr>
            </w:pPr>
            <w:r>
              <w:rPr>
                <w:rFonts w:eastAsia="Times New Roman" w:cs="Times New Roman"/>
                <w:sz w:val="21"/>
                <w:szCs w:val="21"/>
                <w:lang w:val="pt-BR"/>
              </w:rPr>
              <w:t>01</w:t>
            </w:r>
          </w:p>
        </w:tc>
        <w:tc>
          <w:tcPr>
            <w:tcW w:w="1245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  <w:lang w:val="pt-BR"/>
              </w:rPr>
            </w:pPr>
            <w:r>
              <w:rPr>
                <w:rFonts w:eastAsia="Times New Roman" w:cs="Times New Roman"/>
                <w:sz w:val="21"/>
                <w:szCs w:val="21"/>
                <w:lang w:val="pt-BR"/>
              </w:rPr>
              <w:t>1.932,10</w:t>
            </w:r>
          </w:p>
        </w:tc>
        <w:tc>
          <w:tcPr>
            <w:tcW w:w="95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  <w:lang w:val="pt-BR"/>
              </w:rPr>
            </w:pPr>
            <w:r>
              <w:rPr>
                <w:rFonts w:eastAsia="Times New Roman" w:cs="Times New Roman"/>
                <w:sz w:val="21"/>
                <w:szCs w:val="21"/>
                <w:lang w:val="pt-BR"/>
              </w:rPr>
              <w:t>1.932,10</w:t>
            </w:r>
          </w:p>
        </w:tc>
      </w:tr>
      <w:tr>
        <w:trPr>
          <w:trHeight w:val="1187" w:hRule="atLeast"/>
        </w:trPr>
        <w:tc>
          <w:tcPr>
            <w:tcW w:w="67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11</w:t>
            </w:r>
          </w:p>
        </w:tc>
        <w:tc>
          <w:tcPr>
            <w:tcW w:w="4662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PargrafodaLista"/>
              <w:widowControl w:val="false"/>
              <w:snapToGrid w:val="false"/>
              <w:spacing w:lineRule="auto" w:line="276" w:before="0" w:after="20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sz w:val="21"/>
                <w:szCs w:val="21"/>
              </w:rPr>
            </w:pP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  <w:t>DEMAIS ARQUIVOS</w:t>
            </w:r>
          </w:p>
          <w:p>
            <w:pPr>
              <w:pStyle w:val="PargrafodaLista"/>
              <w:widowControl w:val="false"/>
              <w:snapToGrid w:val="false"/>
              <w:spacing w:lineRule="auto" w:line="276" w:before="0" w:after="20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sz w:val="21"/>
                <w:szCs w:val="21"/>
              </w:rPr>
            </w:pP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</w:r>
          </w:p>
          <w:p>
            <w:pPr>
              <w:pStyle w:val="PargrafodaLista"/>
              <w:widowControl w:val="false"/>
              <w:snapToGrid w:val="false"/>
              <w:spacing w:lineRule="auto" w:line="276" w:before="0" w:after="20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sz w:val="21"/>
                <w:szCs w:val="21"/>
              </w:rPr>
            </w:pP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  <w:t>Solicitados pelo Tribunal de Contas Do Estado do Espírito Santo – TCEES, tais como:</w:t>
            </w:r>
          </w:p>
          <w:p>
            <w:pPr>
              <w:pStyle w:val="PargrafodaLista"/>
              <w:widowControl w:val="false"/>
              <w:snapToGrid w:val="false"/>
              <w:spacing w:lineRule="auto" w:line="276" w:before="0" w:after="200"/>
              <w:ind w:left="0" w:right="0" w:hanging="0"/>
              <w:contextualSpacing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cs="Arial" w:ascii="Times New Roman" w:hAnsi="Times New Roman"/>
                <w:b/>
                <w:bCs w:val="false"/>
                <w:i w:val="false"/>
                <w:iCs w:val="false"/>
                <w:color w:val="000000"/>
                <w:sz w:val="21"/>
                <w:szCs w:val="21"/>
              </w:rPr>
              <w:t>RELPOL</w:t>
            </w: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  <w:t xml:space="preserve"> – Relatório que definiu a política anual de investimentos, na forma do artigo 4º da Resolução CMN nº 4.963/2021, arquivo PDF;</w:t>
            </w:r>
          </w:p>
          <w:p>
            <w:pPr>
              <w:pStyle w:val="PargrafodaLista"/>
              <w:widowControl w:val="false"/>
              <w:snapToGrid w:val="false"/>
              <w:spacing w:lineRule="auto" w:line="276" w:before="0" w:after="200"/>
              <w:ind w:left="0" w:right="0" w:hanging="0"/>
              <w:contextualSpacing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cs="Arial" w:ascii="Times New Roman" w:hAnsi="Times New Roman"/>
                <w:b/>
                <w:sz w:val="21"/>
                <w:szCs w:val="21"/>
              </w:rPr>
              <w:t>DEMPOL</w:t>
            </w:r>
            <w:r>
              <w:rPr>
                <w:rFonts w:cs="Arial" w:ascii="Times New Roman" w:hAnsi="Times New Roman"/>
                <w:sz w:val="21"/>
                <w:szCs w:val="21"/>
              </w:rPr>
              <w:t xml:space="preserve"> – Cópia do demonstrativo da política anual de investimentos encaminhada ao Ministério da Previdência, na forma da Resolução CMN nº 4.963/2021, arquivo PDF;</w:t>
            </w:r>
          </w:p>
          <w:p>
            <w:pPr>
              <w:pStyle w:val="PargrafodaLista"/>
              <w:widowControl w:val="false"/>
              <w:snapToGrid w:val="false"/>
              <w:spacing w:lineRule="auto" w:line="276" w:before="0" w:after="200"/>
              <w:ind w:left="0" w:right="0" w:hanging="0"/>
              <w:contextualSpacing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cs="Arial" w:ascii="Times New Roman" w:hAnsi="Times New Roman"/>
                <w:b/>
                <w:bCs w:val="false"/>
                <w:i w:val="false"/>
                <w:iCs w:val="false"/>
                <w:color w:val="000000"/>
                <w:sz w:val="21"/>
                <w:szCs w:val="21"/>
              </w:rPr>
              <w:t>RELRENT</w:t>
            </w: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  <w:t xml:space="preserve"> – Relatório detalhado do último trimestre do exercício financeiro, sobre a rentabilidade, os riscos das diversas modalidades de operações realizadas nas aplicações dos recursos do RPPS e a aderência à política anual de investimentos e suas revisões, evidenciando a data de submissão do mesmo às instâncias superiores de deliberação e controle, arquivo PDF.</w:t>
            </w:r>
          </w:p>
        </w:tc>
        <w:tc>
          <w:tcPr>
            <w:tcW w:w="1178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  <w:lang w:val="pt-BR"/>
              </w:rPr>
            </w:pPr>
            <w:r>
              <w:rPr>
                <w:rFonts w:eastAsia="Times New Roman" w:cs="Times New Roman"/>
                <w:sz w:val="21"/>
                <w:szCs w:val="21"/>
                <w:lang w:val="pt-BR"/>
              </w:rPr>
              <w:t>SERV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  <w:lang w:val="pt-BR"/>
              </w:rPr>
            </w:pPr>
            <w:r>
              <w:rPr>
                <w:rFonts w:eastAsia="Times New Roman" w:cs="Times New Roman"/>
                <w:sz w:val="21"/>
                <w:szCs w:val="21"/>
                <w:lang w:val="pt-BR"/>
              </w:rPr>
              <w:t>01</w:t>
            </w:r>
          </w:p>
        </w:tc>
        <w:tc>
          <w:tcPr>
            <w:tcW w:w="1245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  <w:lang w:val="pt-BR"/>
              </w:rPr>
            </w:pPr>
            <w:r>
              <w:rPr>
                <w:rFonts w:eastAsia="Times New Roman" w:cs="Times New Roman"/>
                <w:sz w:val="21"/>
                <w:szCs w:val="21"/>
                <w:lang w:val="pt-BR"/>
              </w:rPr>
              <w:t>1.932,10</w:t>
            </w:r>
          </w:p>
        </w:tc>
        <w:tc>
          <w:tcPr>
            <w:tcW w:w="95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  <w:lang w:val="pt-BR"/>
              </w:rPr>
            </w:pPr>
            <w:r>
              <w:rPr>
                <w:rFonts w:eastAsia="Times New Roman" w:cs="Times New Roman"/>
                <w:sz w:val="21"/>
                <w:szCs w:val="21"/>
                <w:lang w:val="pt-BR"/>
              </w:rPr>
              <w:t>1.932,10</w:t>
            </w:r>
          </w:p>
        </w:tc>
      </w:tr>
      <w:tr>
        <w:trPr>
          <w:trHeight w:val="1187" w:hRule="atLeast"/>
        </w:trPr>
        <w:tc>
          <w:tcPr>
            <w:tcW w:w="67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12</w:t>
            </w:r>
          </w:p>
        </w:tc>
        <w:tc>
          <w:tcPr>
            <w:tcW w:w="4662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PargrafodaLista"/>
              <w:widowControl w:val="false"/>
              <w:snapToGrid w:val="false"/>
              <w:spacing w:lineRule="auto" w:line="276" w:before="0" w:after="20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sz w:val="21"/>
                <w:szCs w:val="21"/>
              </w:rPr>
            </w:pP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  <w:t>PALESTRA</w:t>
            </w:r>
          </w:p>
          <w:p>
            <w:pPr>
              <w:pStyle w:val="PargrafodaLista"/>
              <w:widowControl w:val="false"/>
              <w:snapToGrid w:val="false"/>
              <w:spacing w:lineRule="auto" w:line="276" w:before="0" w:after="20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sz w:val="21"/>
                <w:szCs w:val="21"/>
              </w:rPr>
            </w:pP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</w:r>
          </w:p>
          <w:p>
            <w:pPr>
              <w:pStyle w:val="PargrafodaLista"/>
              <w:widowControl w:val="false"/>
              <w:snapToGrid w:val="false"/>
              <w:spacing w:lineRule="auto" w:line="276" w:before="0" w:after="20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sz w:val="21"/>
                <w:szCs w:val="21"/>
              </w:rPr>
            </w:pP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  <w:t>A ser realizada no final do ano sem ônus algum para o RPPS, voltada aos responsáveis do Instituto e comitê de investimentos, apresentando o comportamento das aplicações financeiras no ano vigente e o seu cumprimento da Meta Atuarial e PAI-Política de Investimento do SGP-PREV;</w:t>
            </w:r>
          </w:p>
        </w:tc>
        <w:tc>
          <w:tcPr>
            <w:tcW w:w="1178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  <w:lang w:val="pt-BR"/>
              </w:rPr>
            </w:pPr>
            <w:r>
              <w:rPr>
                <w:rFonts w:eastAsia="Times New Roman" w:cs="Times New Roman"/>
                <w:sz w:val="21"/>
                <w:szCs w:val="21"/>
                <w:lang w:val="pt-BR"/>
              </w:rPr>
              <w:t>SERV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  <w:lang w:val="pt-BR"/>
              </w:rPr>
            </w:pPr>
            <w:r>
              <w:rPr>
                <w:rFonts w:eastAsia="Times New Roman" w:cs="Times New Roman"/>
                <w:sz w:val="21"/>
                <w:szCs w:val="21"/>
                <w:lang w:val="pt-BR"/>
              </w:rPr>
              <w:t>01</w:t>
            </w:r>
          </w:p>
        </w:tc>
        <w:tc>
          <w:tcPr>
            <w:tcW w:w="1245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  <w:lang w:val="pt-BR"/>
              </w:rPr>
            </w:pPr>
            <w:r>
              <w:rPr>
                <w:rFonts w:eastAsia="Times New Roman" w:cs="Times New Roman"/>
                <w:sz w:val="21"/>
                <w:szCs w:val="21"/>
                <w:lang w:val="pt-BR"/>
              </w:rPr>
              <w:t>1.932,10</w:t>
            </w:r>
          </w:p>
        </w:tc>
        <w:tc>
          <w:tcPr>
            <w:tcW w:w="95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  <w:lang w:val="pt-BR"/>
              </w:rPr>
            </w:pPr>
            <w:r>
              <w:rPr>
                <w:rFonts w:eastAsia="Times New Roman" w:cs="Times New Roman"/>
                <w:sz w:val="21"/>
                <w:szCs w:val="21"/>
                <w:lang w:val="pt-BR"/>
              </w:rPr>
              <w:t>1.932,10</w:t>
            </w:r>
          </w:p>
        </w:tc>
      </w:tr>
      <w:tr>
        <w:trPr>
          <w:trHeight w:val="1187" w:hRule="atLeast"/>
        </w:trPr>
        <w:tc>
          <w:tcPr>
            <w:tcW w:w="67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13</w:t>
            </w:r>
          </w:p>
        </w:tc>
        <w:tc>
          <w:tcPr>
            <w:tcW w:w="4662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PargrafodaLista"/>
              <w:widowControl w:val="false"/>
              <w:snapToGrid w:val="false"/>
              <w:spacing w:lineRule="auto" w:line="276" w:before="0" w:after="20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sz w:val="21"/>
                <w:szCs w:val="21"/>
              </w:rPr>
            </w:pP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  <w:t>ESTUDO DE ALM</w:t>
            </w:r>
          </w:p>
          <w:p>
            <w:pPr>
              <w:pStyle w:val="PargrafodaLista"/>
              <w:widowControl w:val="false"/>
              <w:snapToGrid w:val="false"/>
              <w:spacing w:lineRule="auto" w:line="276" w:before="0" w:after="20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sz w:val="21"/>
                <w:szCs w:val="21"/>
              </w:rPr>
            </w:pP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</w:r>
          </w:p>
          <w:p>
            <w:pPr>
              <w:pStyle w:val="PargrafodaLista"/>
              <w:widowControl w:val="false"/>
              <w:snapToGrid w:val="false"/>
              <w:spacing w:lineRule="auto" w:line="276" w:before="0" w:after="20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sz w:val="21"/>
                <w:szCs w:val="21"/>
              </w:rPr>
            </w:pP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  <w:t>Elaboração de Estudo de Asset Liability Management (ALM) utilizando a macro alocação através da construção da Fronteira Eficiente de Markowitz e a modelagem de Cash Flow Matching, em consonância com a Resolução CMN nº 4963/2021 e as normas da Secretaria de Previdência do Ministério da Economia.</w:t>
            </w:r>
          </w:p>
        </w:tc>
        <w:tc>
          <w:tcPr>
            <w:tcW w:w="1178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  <w:lang w:val="pt-BR"/>
              </w:rPr>
            </w:pPr>
            <w:r>
              <w:rPr>
                <w:rFonts w:eastAsia="Times New Roman" w:cs="Times New Roman"/>
                <w:sz w:val="21"/>
                <w:szCs w:val="21"/>
                <w:lang w:val="pt-BR"/>
              </w:rPr>
              <w:t>SERV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  <w:lang w:val="pt-BR"/>
              </w:rPr>
            </w:pPr>
            <w:r>
              <w:rPr>
                <w:rFonts w:eastAsia="Times New Roman" w:cs="Times New Roman"/>
                <w:sz w:val="21"/>
                <w:szCs w:val="21"/>
                <w:lang w:val="pt-BR"/>
              </w:rPr>
              <w:t>01</w:t>
            </w:r>
          </w:p>
        </w:tc>
        <w:tc>
          <w:tcPr>
            <w:tcW w:w="1245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  <w:lang w:val="pt-BR"/>
              </w:rPr>
            </w:pPr>
            <w:r>
              <w:rPr>
                <w:rFonts w:eastAsia="Times New Roman" w:cs="Times New Roman"/>
                <w:sz w:val="21"/>
                <w:szCs w:val="21"/>
                <w:lang w:val="pt-BR"/>
              </w:rPr>
              <w:t>1.932,10</w:t>
            </w:r>
          </w:p>
        </w:tc>
        <w:tc>
          <w:tcPr>
            <w:tcW w:w="95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76" w:before="240" w:after="6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  <w:lang w:val="pt-BR"/>
              </w:rPr>
            </w:pPr>
            <w:r>
              <w:rPr>
                <w:rFonts w:eastAsia="Times New Roman" w:cs="Times New Roman"/>
                <w:sz w:val="21"/>
                <w:szCs w:val="21"/>
                <w:lang w:val="pt-BR"/>
              </w:rPr>
              <w:t>1.932,10</w:t>
            </w:r>
          </w:p>
        </w:tc>
      </w:tr>
    </w:tbl>
    <w:p>
      <w:pPr>
        <w:pStyle w:val="Normal"/>
        <w:tabs>
          <w:tab w:val="clear" w:pos="720"/>
          <w:tab w:val="left" w:pos="0" w:leader="none"/>
        </w:tabs>
        <w:suppressAutoHyphens w:val="false"/>
        <w:spacing w:lineRule="auto" w:line="276"/>
        <w:ind w:left="0" w:hanging="0"/>
        <w:jc w:val="both"/>
        <w:rPr/>
      </w:pPr>
      <w:r>
        <w:rPr/>
      </w:r>
    </w:p>
    <w:p>
      <w:pPr>
        <w:pStyle w:val="Normal"/>
        <w:suppressAutoHyphens w:val="false"/>
        <w:spacing w:lineRule="auto" w:line="276"/>
        <w:ind w:left="-22" w:hanging="0"/>
        <w:jc w:val="both"/>
        <w:rPr>
          <w:rFonts w:ascii="Times New Roman" w:hAnsi="Times New Roman" w:cs="Arial"/>
          <w:iCs/>
          <w:sz w:val="23"/>
          <w:szCs w:val="23"/>
          <w:lang w:eastAsia="pt-BR"/>
        </w:rPr>
      </w:pPr>
      <w:r>
        <w:rPr>
          <w:b/>
          <w:bCs/>
          <w:iCs/>
          <w:sz w:val="24"/>
          <w:szCs w:val="24"/>
        </w:rPr>
        <w:t>1.2</w:t>
      </w:r>
      <w:bookmarkStart w:id="0" w:name="art23§711"/>
      <w:r>
        <w:rPr>
          <w:iCs/>
          <w:sz w:val="24"/>
          <w:szCs w:val="24"/>
        </w:rPr>
        <w:t>. Compõem a presente contratação os seguintes serviços especializados:</w:t>
      </w:r>
    </w:p>
    <w:p>
      <w:pPr>
        <w:pStyle w:val="Normal"/>
        <w:suppressAutoHyphens w:val="false"/>
        <w:spacing w:lineRule="auto" w:line="276"/>
        <w:ind w:left="-22" w:hanging="0"/>
        <w:jc w:val="both"/>
        <w:rPr>
          <w:rFonts w:ascii="Times New Roman" w:hAnsi="Times New Roman" w:cs="Arial"/>
          <w:iCs/>
          <w:sz w:val="23"/>
          <w:szCs w:val="23"/>
          <w:lang w:eastAsia="pt-BR"/>
        </w:rPr>
      </w:pPr>
      <w:r>
        <w:rPr>
          <w:rFonts w:cs="Arial"/>
          <w:iCs/>
          <w:sz w:val="23"/>
          <w:szCs w:val="23"/>
          <w:lang w:eastAsia="pt-BR"/>
        </w:rPr>
      </w:r>
    </w:p>
    <w:p>
      <w:pPr>
        <w:pStyle w:val="Corpodotexto"/>
        <w:spacing w:lineRule="auto" w:line="276"/>
        <w:ind w:left="220" w:right="398" w:hanging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• </w:t>
      </w:r>
      <w:r>
        <w:rPr>
          <w:sz w:val="24"/>
          <w:szCs w:val="24"/>
        </w:rPr>
        <w:t>A prestação dos serviços compreenderá, mensalmente, a abertura de carteira de cada um dos fundos de investimentos que o</w:t>
      </w:r>
      <w:r>
        <w:rPr>
          <w:spacing w:val="1"/>
          <w:sz w:val="24"/>
          <w:szCs w:val="24"/>
        </w:rPr>
        <w:t xml:space="preserve">  Instituto de Previdência dos Servidores Públicos do Município de São Gabriel da Palha - SGP-PREV</w:t>
      </w:r>
      <w:r>
        <w:rPr>
          <w:sz w:val="24"/>
          <w:szCs w:val="24"/>
        </w:rPr>
        <w:t xml:space="preserve"> possui os seus recursos alocados, através do arquivo XML enviado por cada Banco/Asset ao Instituto, com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posição de fechamento do último dia útil de cada mês, propiciando assim, a descoberta de cada um dos ativos que fazem parte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carteira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fundo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(analisar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ativo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final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cada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fundo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adquire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mercado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financeiro).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poderá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utilizada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carteira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aberta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CVM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cada um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fundos,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uma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vez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existe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desfasagem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90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dias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sua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divulgação.</w:t>
      </w:r>
    </w:p>
    <w:p>
      <w:pPr>
        <w:pStyle w:val="Corpodotexto"/>
        <w:spacing w:lineRule="auto" w:line="276"/>
        <w:ind w:left="220" w:right="395" w:hanging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• </w:t>
      </w:r>
      <w:r>
        <w:rPr>
          <w:sz w:val="24"/>
          <w:szCs w:val="24"/>
        </w:rPr>
        <w:t xml:space="preserve">Se o investimento do </w:t>
      </w:r>
      <w:r>
        <w:rPr>
          <w:spacing w:val="1"/>
          <w:sz w:val="24"/>
          <w:szCs w:val="24"/>
        </w:rPr>
        <w:t>Instituto de Previdência dos Servidores Públicos do Município de São Gabriel da Palha - SGP-PREV</w:t>
      </w:r>
      <w:r>
        <w:rPr>
          <w:sz w:val="24"/>
          <w:szCs w:val="24"/>
        </w:rPr>
        <w:t xml:space="preserve"> for realizado em um Fundo de Investimento em Cotas de Fundos de Investimentos,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chamado FIC, será imprescindível que seja aberta a carteira do Fundo de Investimento, para que os ditames legais possam 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atendidos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verificados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esse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Instituto.</w:t>
      </w:r>
    </w:p>
    <w:p>
      <w:pPr>
        <w:pStyle w:val="Corpodotexto"/>
        <w:spacing w:lineRule="auto" w:line="276" w:before="1" w:after="0"/>
        <w:ind w:left="220" w:right="398" w:hanging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• </w:t>
      </w:r>
      <w:r>
        <w:rPr>
          <w:sz w:val="24"/>
          <w:szCs w:val="24"/>
        </w:rPr>
        <w:t xml:space="preserve">Se o </w:t>
      </w:r>
      <w:r>
        <w:rPr>
          <w:spacing w:val="1"/>
          <w:sz w:val="24"/>
          <w:szCs w:val="24"/>
        </w:rPr>
        <w:t>Instituto de Previdência dos Servidores Públicos do Município de São Gabriel da Palha - SGP-PREV</w:t>
      </w:r>
      <w:r>
        <w:rPr>
          <w:sz w:val="24"/>
          <w:szCs w:val="24"/>
        </w:rPr>
        <w:t xml:space="preserve"> vier a possuir carteiras próprias ou carteiras administradas, a análise de abertura dessas carteiras também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deverá ser realizada através do arquivo XML de cada uma delas, sendo que no final, serão consolidadas com os demais fundos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investimento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Instituto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possuir seus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recursos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alocados.</w:t>
      </w:r>
    </w:p>
    <w:p>
      <w:pPr>
        <w:pStyle w:val="Corpodotexto"/>
        <w:spacing w:lineRule="auto" w:line="276" w:before="4" w:after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Corpodotexto"/>
        <w:spacing w:lineRule="auto" w:line="276"/>
        <w:ind w:left="220" w:right="398" w:hanging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• </w:t>
      </w:r>
      <w:r>
        <w:rPr>
          <w:sz w:val="24"/>
          <w:szCs w:val="24"/>
        </w:rPr>
        <w:t>A cada três meses, deverá ser feita uma apresentação das análises obtidas com a abertura de carteiras em reunião do Comitê de</w:t>
      </w:r>
      <w:r>
        <w:rPr>
          <w:spacing w:val="1"/>
          <w:sz w:val="24"/>
          <w:szCs w:val="24"/>
        </w:rPr>
        <w:t xml:space="preserve"> I</w:t>
      </w:r>
      <w:r>
        <w:rPr>
          <w:sz w:val="24"/>
          <w:szCs w:val="24"/>
        </w:rPr>
        <w:t>nvestimentos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atendimento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Portaria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519,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24/08/2011,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Artigo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3º,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Inciso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V.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Assim,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apresentações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serão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realizadas:</w:t>
      </w:r>
    </w:p>
    <w:p>
      <w:pPr>
        <w:pStyle w:val="Corpodotexto"/>
        <w:spacing w:lineRule="auto" w:line="276" w:before="5" w:after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ListParagraph"/>
        <w:widowControl/>
        <w:numPr>
          <w:ilvl w:val="0"/>
          <w:numId w:val="2"/>
        </w:numPr>
        <w:tabs>
          <w:tab w:val="clear" w:pos="720"/>
          <w:tab w:val="left" w:pos="640" w:leader="none"/>
          <w:tab w:val="left" w:pos="641" w:leader="none"/>
        </w:tabs>
        <w:suppressAutoHyphens w:val="true"/>
        <w:bidi w:val="0"/>
        <w:spacing w:lineRule="auto" w:line="276" w:before="0" w:after="0"/>
        <w:ind w:left="737" w:right="0" w:hanging="510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mês de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outubro,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com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relação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ao fechamento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do terceiro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trimestre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(carteiras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abertas de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julho,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agosto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setembro)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e,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640" w:leader="none"/>
          <w:tab w:val="left" w:pos="641" w:leader="none"/>
        </w:tabs>
        <w:spacing w:lineRule="auto" w:line="276" w:before="160" w:after="0"/>
        <w:ind w:left="640" w:right="398" w:hanging="420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 mês de janeiro do ano seguinte, com relação ao fechamento do quarto trimestre (carteiras abertas de outubro, novembro e</w:t>
      </w:r>
      <w:r>
        <w:rPr>
          <w:rFonts w:ascii="Times New Roman" w:hAnsi="Times New Roman"/>
          <w:spacing w:val="-4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dezembro).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640" w:leader="none"/>
          <w:tab w:val="left" w:pos="641" w:leader="none"/>
        </w:tabs>
        <w:spacing w:lineRule="auto" w:line="276" w:before="160" w:after="0"/>
        <w:ind w:left="640" w:right="0" w:hanging="421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mês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de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abril,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com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relação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ao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fechamento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do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primeiro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trimestre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(carteiras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abertas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de janeiro,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fevereiro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março);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640" w:leader="none"/>
          <w:tab w:val="left" w:pos="641" w:leader="none"/>
        </w:tabs>
        <w:spacing w:lineRule="auto" w:line="276" w:before="160" w:after="0"/>
        <w:ind w:left="640" w:right="0" w:hanging="421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eastAsia="Verdana" w:cs="Times New Roman" w:ascii="Times New Roman" w:hAnsi="Times New Roman"/>
          <w:bCs/>
          <w:iCs/>
          <w:color w:val="000000"/>
          <w:sz w:val="24"/>
          <w:szCs w:val="24"/>
          <w:lang w:val="pt-BR" w:eastAsia="zh-CN" w:bidi="ar-SA"/>
        </w:rPr>
        <w:t>No</w:t>
      </w:r>
      <w:r>
        <w:rPr>
          <w:rFonts w:eastAsia="Verdana" w:cs="Times New Roman" w:ascii="Times New Roman" w:hAnsi="Times New Roman"/>
          <w:bCs/>
          <w:iCs/>
          <w:color w:val="000000"/>
          <w:spacing w:val="-4"/>
          <w:sz w:val="24"/>
          <w:szCs w:val="24"/>
          <w:lang w:val="pt-BR" w:eastAsia="zh-CN" w:bidi="ar-SA"/>
        </w:rPr>
        <w:t xml:space="preserve"> </w:t>
      </w:r>
      <w:r>
        <w:rPr>
          <w:rFonts w:eastAsia="Verdana" w:cs="Times New Roman" w:ascii="Times New Roman" w:hAnsi="Times New Roman"/>
          <w:bCs/>
          <w:iCs/>
          <w:color w:val="000000"/>
          <w:sz w:val="24"/>
          <w:szCs w:val="24"/>
          <w:lang w:val="pt-BR" w:eastAsia="zh-CN" w:bidi="ar-SA"/>
        </w:rPr>
        <w:t>mês de</w:t>
      </w:r>
      <w:r>
        <w:rPr>
          <w:rFonts w:eastAsia="Verdana" w:cs="Times New Roman" w:ascii="Times New Roman" w:hAnsi="Times New Roman"/>
          <w:bCs/>
          <w:iCs/>
          <w:color w:val="000000"/>
          <w:spacing w:val="-4"/>
          <w:sz w:val="24"/>
          <w:szCs w:val="24"/>
          <w:lang w:val="pt-BR" w:eastAsia="zh-CN" w:bidi="ar-SA"/>
        </w:rPr>
        <w:t xml:space="preserve"> </w:t>
      </w:r>
      <w:r>
        <w:rPr>
          <w:rFonts w:eastAsia="Verdana" w:cs="Times New Roman" w:ascii="Times New Roman" w:hAnsi="Times New Roman"/>
          <w:bCs/>
          <w:iCs/>
          <w:color w:val="000000"/>
          <w:sz w:val="24"/>
          <w:szCs w:val="24"/>
          <w:lang w:val="pt-BR" w:eastAsia="zh-CN" w:bidi="ar-SA"/>
        </w:rPr>
        <w:t>julho,</w:t>
      </w:r>
      <w:r>
        <w:rPr>
          <w:rFonts w:eastAsia="Verdana" w:cs="Times New Roman" w:ascii="Times New Roman" w:hAnsi="Times New Roman"/>
          <w:bCs/>
          <w:iCs/>
          <w:color w:val="000000"/>
          <w:spacing w:val="-3"/>
          <w:sz w:val="24"/>
          <w:szCs w:val="24"/>
          <w:lang w:val="pt-BR" w:eastAsia="zh-CN" w:bidi="ar-SA"/>
        </w:rPr>
        <w:t xml:space="preserve"> </w:t>
      </w:r>
      <w:r>
        <w:rPr>
          <w:rFonts w:eastAsia="Verdana" w:cs="Times New Roman" w:ascii="Times New Roman" w:hAnsi="Times New Roman"/>
          <w:bCs/>
          <w:iCs/>
          <w:color w:val="000000"/>
          <w:sz w:val="24"/>
          <w:szCs w:val="24"/>
          <w:lang w:val="pt-BR" w:eastAsia="zh-CN" w:bidi="ar-SA"/>
        </w:rPr>
        <w:t>com</w:t>
      </w:r>
      <w:r>
        <w:rPr>
          <w:rFonts w:eastAsia="Verdana" w:cs="Times New Roman" w:ascii="Times New Roman" w:hAnsi="Times New Roman"/>
          <w:bCs/>
          <w:iCs/>
          <w:color w:val="000000"/>
          <w:spacing w:val="-6"/>
          <w:sz w:val="24"/>
          <w:szCs w:val="24"/>
          <w:lang w:val="pt-BR" w:eastAsia="zh-CN" w:bidi="ar-SA"/>
        </w:rPr>
        <w:t xml:space="preserve"> </w:t>
      </w:r>
      <w:r>
        <w:rPr>
          <w:rFonts w:eastAsia="Verdana" w:cs="Times New Roman" w:ascii="Times New Roman" w:hAnsi="Times New Roman"/>
          <w:bCs/>
          <w:iCs/>
          <w:color w:val="000000"/>
          <w:sz w:val="24"/>
          <w:szCs w:val="24"/>
          <w:lang w:val="pt-BR" w:eastAsia="zh-CN" w:bidi="ar-SA"/>
        </w:rPr>
        <w:t>relação ao</w:t>
      </w:r>
      <w:r>
        <w:rPr>
          <w:rFonts w:eastAsia="Verdana" w:cs="Times New Roman" w:ascii="Times New Roman" w:hAnsi="Times New Roman"/>
          <w:bCs/>
          <w:iCs/>
          <w:color w:val="000000"/>
          <w:spacing w:val="-3"/>
          <w:sz w:val="24"/>
          <w:szCs w:val="24"/>
          <w:lang w:val="pt-BR" w:eastAsia="zh-CN" w:bidi="ar-SA"/>
        </w:rPr>
        <w:t xml:space="preserve"> </w:t>
      </w:r>
      <w:r>
        <w:rPr>
          <w:rFonts w:eastAsia="Verdana" w:cs="Times New Roman" w:ascii="Times New Roman" w:hAnsi="Times New Roman"/>
          <w:bCs/>
          <w:iCs/>
          <w:color w:val="000000"/>
          <w:sz w:val="24"/>
          <w:szCs w:val="24"/>
          <w:lang w:val="pt-BR" w:eastAsia="zh-CN" w:bidi="ar-SA"/>
        </w:rPr>
        <w:t>fechamento</w:t>
      </w:r>
      <w:r>
        <w:rPr>
          <w:rFonts w:eastAsia="Verdana" w:cs="Times New Roman" w:ascii="Times New Roman" w:hAnsi="Times New Roman"/>
          <w:bCs/>
          <w:iCs/>
          <w:color w:val="000000"/>
          <w:spacing w:val="-4"/>
          <w:sz w:val="24"/>
          <w:szCs w:val="24"/>
          <w:lang w:val="pt-BR" w:eastAsia="zh-CN" w:bidi="ar-SA"/>
        </w:rPr>
        <w:t xml:space="preserve"> </w:t>
      </w:r>
      <w:r>
        <w:rPr>
          <w:rFonts w:eastAsia="Verdana" w:cs="Times New Roman" w:ascii="Times New Roman" w:hAnsi="Times New Roman"/>
          <w:bCs/>
          <w:iCs/>
          <w:color w:val="000000"/>
          <w:sz w:val="24"/>
          <w:szCs w:val="24"/>
          <w:lang w:val="pt-BR" w:eastAsia="zh-CN" w:bidi="ar-SA"/>
        </w:rPr>
        <w:t>do segundo</w:t>
      </w:r>
      <w:r>
        <w:rPr>
          <w:rFonts w:eastAsia="Verdana" w:cs="Times New Roman" w:ascii="Times New Roman" w:hAnsi="Times New Roman"/>
          <w:bCs/>
          <w:iCs/>
          <w:color w:val="000000"/>
          <w:spacing w:val="-4"/>
          <w:sz w:val="24"/>
          <w:szCs w:val="24"/>
          <w:lang w:val="pt-BR" w:eastAsia="zh-CN" w:bidi="ar-SA"/>
        </w:rPr>
        <w:t xml:space="preserve"> </w:t>
      </w:r>
      <w:r>
        <w:rPr>
          <w:rFonts w:eastAsia="Verdana" w:cs="Times New Roman" w:ascii="Times New Roman" w:hAnsi="Times New Roman"/>
          <w:bCs/>
          <w:iCs/>
          <w:color w:val="000000"/>
          <w:sz w:val="24"/>
          <w:szCs w:val="24"/>
          <w:lang w:val="pt-BR" w:eastAsia="zh-CN" w:bidi="ar-SA"/>
        </w:rPr>
        <w:t>trimestre (carteiras</w:t>
      </w:r>
      <w:r>
        <w:rPr>
          <w:rFonts w:eastAsia="Verdana" w:cs="Times New Roman" w:ascii="Times New Roman" w:hAnsi="Times New Roman"/>
          <w:bCs/>
          <w:iCs/>
          <w:color w:val="000000"/>
          <w:spacing w:val="-3"/>
          <w:sz w:val="24"/>
          <w:szCs w:val="24"/>
          <w:lang w:val="pt-BR" w:eastAsia="zh-CN" w:bidi="ar-SA"/>
        </w:rPr>
        <w:t xml:space="preserve"> </w:t>
      </w:r>
      <w:r>
        <w:rPr>
          <w:rFonts w:eastAsia="Verdana" w:cs="Times New Roman" w:ascii="Times New Roman" w:hAnsi="Times New Roman"/>
          <w:bCs/>
          <w:iCs/>
          <w:color w:val="000000"/>
          <w:sz w:val="24"/>
          <w:szCs w:val="24"/>
          <w:lang w:val="pt-BR" w:eastAsia="zh-CN" w:bidi="ar-SA"/>
        </w:rPr>
        <w:t>abertas</w:t>
      </w:r>
      <w:r>
        <w:rPr>
          <w:rFonts w:eastAsia="Verdana" w:cs="Times New Roman" w:ascii="Times New Roman" w:hAnsi="Times New Roman"/>
          <w:bCs/>
          <w:iCs/>
          <w:color w:val="000000"/>
          <w:spacing w:val="-2"/>
          <w:sz w:val="24"/>
          <w:szCs w:val="24"/>
          <w:lang w:val="pt-BR" w:eastAsia="zh-CN" w:bidi="ar-SA"/>
        </w:rPr>
        <w:t xml:space="preserve"> </w:t>
      </w:r>
      <w:r>
        <w:rPr>
          <w:rFonts w:eastAsia="Verdana" w:cs="Times New Roman" w:ascii="Times New Roman" w:hAnsi="Times New Roman"/>
          <w:bCs/>
          <w:iCs/>
          <w:color w:val="000000"/>
          <w:sz w:val="24"/>
          <w:szCs w:val="24"/>
          <w:lang w:val="pt-BR" w:eastAsia="zh-CN" w:bidi="ar-SA"/>
        </w:rPr>
        <w:t>de</w:t>
      </w:r>
      <w:r>
        <w:rPr>
          <w:rFonts w:eastAsia="Verdana" w:cs="Times New Roman" w:ascii="Times New Roman" w:hAnsi="Times New Roman"/>
          <w:bCs/>
          <w:iCs/>
          <w:color w:val="000000"/>
          <w:spacing w:val="-3"/>
          <w:sz w:val="24"/>
          <w:szCs w:val="24"/>
          <w:lang w:val="pt-BR" w:eastAsia="zh-CN" w:bidi="ar-SA"/>
        </w:rPr>
        <w:t xml:space="preserve"> </w:t>
      </w:r>
      <w:r>
        <w:rPr>
          <w:rFonts w:eastAsia="Verdana" w:cs="Times New Roman" w:ascii="Times New Roman" w:hAnsi="Times New Roman"/>
          <w:bCs/>
          <w:iCs/>
          <w:color w:val="000000"/>
          <w:sz w:val="24"/>
          <w:szCs w:val="24"/>
          <w:lang w:val="pt-BR" w:eastAsia="zh-CN" w:bidi="ar-SA"/>
        </w:rPr>
        <w:t>abril,</w:t>
      </w:r>
      <w:r>
        <w:rPr>
          <w:rFonts w:eastAsia="Verdana" w:cs="Times New Roman" w:ascii="Times New Roman" w:hAnsi="Times New Roman"/>
          <w:bCs/>
          <w:iCs/>
          <w:color w:val="000000"/>
          <w:spacing w:val="-2"/>
          <w:sz w:val="24"/>
          <w:szCs w:val="24"/>
          <w:lang w:val="pt-BR" w:eastAsia="zh-CN" w:bidi="ar-SA"/>
        </w:rPr>
        <w:t xml:space="preserve"> </w:t>
      </w:r>
      <w:r>
        <w:rPr>
          <w:rFonts w:eastAsia="Verdana" w:cs="Times New Roman" w:ascii="Times New Roman" w:hAnsi="Times New Roman"/>
          <w:bCs/>
          <w:iCs/>
          <w:color w:val="000000"/>
          <w:sz w:val="24"/>
          <w:szCs w:val="24"/>
          <w:lang w:val="pt-BR" w:eastAsia="zh-CN" w:bidi="ar-SA"/>
        </w:rPr>
        <w:t>maio</w:t>
      </w:r>
      <w:r>
        <w:rPr>
          <w:rFonts w:eastAsia="Verdana" w:cs="Times New Roman" w:ascii="Times New Roman" w:hAnsi="Times New Roman"/>
          <w:bCs/>
          <w:iCs/>
          <w:color w:val="000000"/>
          <w:spacing w:val="-3"/>
          <w:sz w:val="24"/>
          <w:szCs w:val="24"/>
          <w:lang w:val="pt-BR" w:eastAsia="zh-CN" w:bidi="ar-SA"/>
        </w:rPr>
        <w:t xml:space="preserve"> </w:t>
      </w:r>
      <w:r>
        <w:rPr>
          <w:rFonts w:eastAsia="Verdana" w:cs="Times New Roman" w:ascii="Times New Roman" w:hAnsi="Times New Roman"/>
          <w:bCs/>
          <w:iCs/>
          <w:color w:val="000000"/>
          <w:sz w:val="24"/>
          <w:szCs w:val="24"/>
          <w:lang w:val="pt-BR" w:eastAsia="zh-CN" w:bidi="ar-SA"/>
        </w:rPr>
        <w:t>e</w:t>
      </w:r>
      <w:r>
        <w:rPr>
          <w:rFonts w:eastAsia="Verdana" w:cs="Times New Roman" w:ascii="Times New Roman" w:hAnsi="Times New Roman"/>
          <w:bCs/>
          <w:iCs/>
          <w:color w:val="000000"/>
          <w:spacing w:val="-1"/>
          <w:sz w:val="24"/>
          <w:szCs w:val="24"/>
          <w:lang w:val="pt-BR" w:eastAsia="zh-CN" w:bidi="ar-SA"/>
        </w:rPr>
        <w:t xml:space="preserve"> </w:t>
      </w:r>
      <w:r>
        <w:rPr>
          <w:rFonts w:eastAsia="Verdana" w:cs="Times New Roman" w:ascii="Times New Roman" w:hAnsi="Times New Roman"/>
          <w:bCs/>
          <w:iCs/>
          <w:color w:val="000000"/>
          <w:sz w:val="24"/>
          <w:szCs w:val="24"/>
          <w:lang w:val="pt-BR" w:eastAsia="zh-CN" w:bidi="ar-SA"/>
        </w:rPr>
        <w:t>junho);</w:t>
      </w:r>
    </w:p>
    <w:p>
      <w:pPr>
        <w:pStyle w:val="ListParagraph"/>
        <w:tabs>
          <w:tab w:val="clear" w:pos="720"/>
          <w:tab w:val="left" w:pos="640" w:leader="none"/>
          <w:tab w:val="left" w:pos="641" w:leader="none"/>
        </w:tabs>
        <w:spacing w:lineRule="auto" w:line="276" w:before="160" w:after="0"/>
        <w:ind w:left="219" w:right="0" w:hanging="0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eastAsia="Verdana" w:cs="Times New Roman" w:ascii="Times New Roman" w:hAnsi="Times New Roman"/>
          <w:bCs/>
          <w:iCs/>
          <w:color w:val="000000"/>
          <w:sz w:val="24"/>
          <w:szCs w:val="24"/>
          <w:lang w:val="pt-BR" w:eastAsia="zh-CN" w:bidi="ar-SA"/>
        </w:rPr>
        <w:t xml:space="preserve">• </w:t>
      </w:r>
      <w:r>
        <w:rPr>
          <w:rFonts w:eastAsia="Verdana" w:cs="Times New Roman" w:ascii="Times New Roman" w:hAnsi="Times New Roman"/>
          <w:bCs/>
          <w:iCs/>
          <w:color w:val="000000"/>
          <w:sz w:val="24"/>
          <w:szCs w:val="24"/>
          <w:lang w:val="pt-BR" w:eastAsia="zh-CN" w:bidi="ar-SA"/>
        </w:rPr>
        <w:t>Deverá ser entregue mensalmente relatório em formato “word” ou “pdf” com a descrição do que foi encontrado na abertura de</w:t>
      </w:r>
      <w:r>
        <w:rPr>
          <w:rFonts w:eastAsia="Verdana" w:cs="Times New Roman" w:ascii="Times New Roman" w:hAnsi="Times New Roman"/>
          <w:bCs/>
          <w:iCs/>
          <w:color w:val="000000"/>
          <w:spacing w:val="1"/>
          <w:sz w:val="24"/>
          <w:szCs w:val="24"/>
          <w:lang w:val="pt-BR" w:eastAsia="zh-CN" w:bidi="ar-SA"/>
        </w:rPr>
        <w:t xml:space="preserve"> </w:t>
      </w:r>
      <w:r>
        <w:rPr>
          <w:rFonts w:eastAsia="Verdana" w:cs="Times New Roman" w:ascii="Times New Roman" w:hAnsi="Times New Roman"/>
          <w:bCs/>
          <w:iCs/>
          <w:color w:val="000000"/>
          <w:sz w:val="24"/>
          <w:szCs w:val="24"/>
          <w:lang w:val="pt-BR" w:eastAsia="zh-CN" w:bidi="ar-SA"/>
        </w:rPr>
        <w:t>carteira</w:t>
      </w:r>
      <w:r>
        <w:rPr>
          <w:rFonts w:eastAsia="Verdana" w:cs="Times New Roman" w:ascii="Times New Roman" w:hAnsi="Times New Roman"/>
          <w:bCs/>
          <w:iCs/>
          <w:color w:val="000000"/>
          <w:spacing w:val="-5"/>
          <w:sz w:val="24"/>
          <w:szCs w:val="24"/>
          <w:lang w:val="pt-BR" w:eastAsia="zh-CN" w:bidi="ar-SA"/>
        </w:rPr>
        <w:t xml:space="preserve"> </w:t>
      </w:r>
      <w:r>
        <w:rPr>
          <w:rFonts w:eastAsia="Verdana" w:cs="Times New Roman" w:ascii="Times New Roman" w:hAnsi="Times New Roman"/>
          <w:bCs/>
          <w:iCs/>
          <w:color w:val="000000"/>
          <w:sz w:val="24"/>
          <w:szCs w:val="24"/>
          <w:lang w:val="pt-BR" w:eastAsia="zh-CN" w:bidi="ar-SA"/>
        </w:rPr>
        <w:t>de</w:t>
      </w:r>
      <w:r>
        <w:rPr>
          <w:rFonts w:eastAsia="Verdana" w:cs="Times New Roman" w:ascii="Times New Roman" w:hAnsi="Times New Roman"/>
          <w:bCs/>
          <w:iCs/>
          <w:color w:val="000000"/>
          <w:spacing w:val="1"/>
          <w:sz w:val="24"/>
          <w:szCs w:val="24"/>
          <w:lang w:val="pt-BR" w:eastAsia="zh-CN" w:bidi="ar-SA"/>
        </w:rPr>
        <w:t xml:space="preserve"> </w:t>
      </w:r>
      <w:r>
        <w:rPr>
          <w:rFonts w:eastAsia="Verdana" w:cs="Times New Roman" w:ascii="Times New Roman" w:hAnsi="Times New Roman"/>
          <w:bCs/>
          <w:iCs/>
          <w:color w:val="000000"/>
          <w:sz w:val="24"/>
          <w:szCs w:val="24"/>
          <w:lang w:val="pt-BR" w:eastAsia="zh-CN" w:bidi="ar-SA"/>
        </w:rPr>
        <w:t>cada</w:t>
      </w:r>
      <w:r>
        <w:rPr>
          <w:rFonts w:eastAsia="Verdana" w:cs="Times New Roman" w:ascii="Times New Roman" w:hAnsi="Times New Roman"/>
          <w:bCs/>
          <w:iCs/>
          <w:color w:val="000000"/>
          <w:spacing w:val="-3"/>
          <w:sz w:val="24"/>
          <w:szCs w:val="24"/>
          <w:lang w:val="pt-BR" w:eastAsia="zh-CN" w:bidi="ar-SA"/>
        </w:rPr>
        <w:t xml:space="preserve"> </w:t>
      </w:r>
      <w:r>
        <w:rPr>
          <w:rFonts w:eastAsia="Verdana" w:cs="Times New Roman" w:ascii="Times New Roman" w:hAnsi="Times New Roman"/>
          <w:bCs/>
          <w:iCs/>
          <w:color w:val="000000"/>
          <w:sz w:val="24"/>
          <w:szCs w:val="24"/>
          <w:lang w:val="pt-BR" w:eastAsia="zh-CN" w:bidi="ar-SA"/>
        </w:rPr>
        <w:t>um</w:t>
      </w:r>
      <w:r>
        <w:rPr>
          <w:rFonts w:eastAsia="Verdana" w:cs="Times New Roman" w:ascii="Times New Roman" w:hAnsi="Times New Roman"/>
          <w:bCs/>
          <w:iCs/>
          <w:color w:val="000000"/>
          <w:spacing w:val="-1"/>
          <w:sz w:val="24"/>
          <w:szCs w:val="24"/>
          <w:lang w:val="pt-BR" w:eastAsia="zh-CN" w:bidi="ar-SA"/>
        </w:rPr>
        <w:t xml:space="preserve"> </w:t>
      </w:r>
      <w:r>
        <w:rPr>
          <w:rFonts w:eastAsia="Verdana" w:cs="Times New Roman" w:ascii="Times New Roman" w:hAnsi="Times New Roman"/>
          <w:bCs/>
          <w:iCs/>
          <w:color w:val="000000"/>
          <w:sz w:val="24"/>
          <w:szCs w:val="24"/>
          <w:lang w:val="pt-BR" w:eastAsia="zh-CN" w:bidi="ar-SA"/>
        </w:rPr>
        <w:t>dos</w:t>
      </w:r>
      <w:r>
        <w:rPr>
          <w:rFonts w:eastAsia="Verdana" w:cs="Times New Roman" w:ascii="Times New Roman" w:hAnsi="Times New Roman"/>
          <w:bCs/>
          <w:iCs/>
          <w:color w:val="000000"/>
          <w:spacing w:val="-2"/>
          <w:sz w:val="24"/>
          <w:szCs w:val="24"/>
          <w:lang w:val="pt-BR" w:eastAsia="zh-CN" w:bidi="ar-SA"/>
        </w:rPr>
        <w:t xml:space="preserve"> </w:t>
      </w:r>
      <w:r>
        <w:rPr>
          <w:rFonts w:eastAsia="Verdana" w:cs="Times New Roman" w:ascii="Times New Roman" w:hAnsi="Times New Roman"/>
          <w:bCs/>
          <w:iCs/>
          <w:color w:val="000000"/>
          <w:sz w:val="24"/>
          <w:szCs w:val="24"/>
          <w:lang w:val="pt-BR" w:eastAsia="zh-CN" w:bidi="ar-SA"/>
        </w:rPr>
        <w:t>fundos</w:t>
      </w:r>
      <w:r>
        <w:rPr>
          <w:rFonts w:eastAsia="Verdana" w:cs="Times New Roman" w:ascii="Times New Roman" w:hAnsi="Times New Roman"/>
          <w:bCs/>
          <w:iCs/>
          <w:color w:val="000000"/>
          <w:spacing w:val="-1"/>
          <w:sz w:val="24"/>
          <w:szCs w:val="24"/>
          <w:lang w:val="pt-BR" w:eastAsia="zh-CN" w:bidi="ar-SA"/>
        </w:rPr>
        <w:t xml:space="preserve"> </w:t>
      </w:r>
      <w:r>
        <w:rPr>
          <w:rFonts w:eastAsia="Verdana" w:cs="Times New Roman" w:ascii="Times New Roman" w:hAnsi="Times New Roman"/>
          <w:bCs/>
          <w:iCs/>
          <w:color w:val="000000"/>
          <w:sz w:val="24"/>
          <w:szCs w:val="24"/>
          <w:lang w:val="pt-BR" w:eastAsia="zh-CN" w:bidi="ar-SA"/>
        </w:rPr>
        <w:t>que</w:t>
      </w:r>
      <w:r>
        <w:rPr>
          <w:rFonts w:eastAsia="Verdana" w:cs="Times New Roman" w:ascii="Times New Roman" w:hAnsi="Times New Roman"/>
          <w:bCs/>
          <w:iCs/>
          <w:color w:val="000000"/>
          <w:spacing w:val="-3"/>
          <w:sz w:val="24"/>
          <w:szCs w:val="24"/>
          <w:lang w:val="pt-BR" w:eastAsia="zh-CN" w:bidi="ar-SA"/>
        </w:rPr>
        <w:t xml:space="preserve"> </w:t>
      </w:r>
      <w:r>
        <w:rPr>
          <w:rFonts w:eastAsia="Verdana" w:cs="Times New Roman" w:ascii="Times New Roman" w:hAnsi="Times New Roman"/>
          <w:bCs/>
          <w:iCs/>
          <w:color w:val="000000"/>
          <w:sz w:val="24"/>
          <w:szCs w:val="24"/>
          <w:lang w:val="pt-BR" w:eastAsia="zh-CN" w:bidi="ar-SA"/>
        </w:rPr>
        <w:t>o</w:t>
      </w:r>
      <w:r>
        <w:rPr>
          <w:rFonts w:eastAsia="Verdana" w:cs="Times New Roman" w:ascii="Times New Roman" w:hAnsi="Times New Roman"/>
          <w:bCs/>
          <w:iCs/>
          <w:color w:val="000000"/>
          <w:spacing w:val="-2"/>
          <w:sz w:val="24"/>
          <w:szCs w:val="24"/>
          <w:lang w:val="pt-BR" w:eastAsia="zh-CN" w:bidi="ar-SA"/>
        </w:rPr>
        <w:t xml:space="preserve"> </w:t>
      </w:r>
      <w:r>
        <w:rPr>
          <w:rFonts w:eastAsia="Verdana" w:cs="Times New Roman" w:ascii="Times New Roman" w:hAnsi="Times New Roman"/>
          <w:bCs/>
          <w:iCs/>
          <w:color w:val="000000"/>
          <w:sz w:val="24"/>
          <w:szCs w:val="24"/>
          <w:lang w:val="pt-BR" w:eastAsia="zh-CN" w:bidi="ar-SA"/>
        </w:rPr>
        <w:t>RPPS</w:t>
      </w:r>
      <w:r>
        <w:rPr>
          <w:rFonts w:eastAsia="Verdana" w:cs="Times New Roman" w:ascii="Times New Roman" w:hAnsi="Times New Roman"/>
          <w:bCs/>
          <w:iCs/>
          <w:color w:val="000000"/>
          <w:spacing w:val="1"/>
          <w:sz w:val="24"/>
          <w:szCs w:val="24"/>
          <w:lang w:val="pt-BR" w:eastAsia="zh-CN" w:bidi="ar-SA"/>
        </w:rPr>
        <w:t xml:space="preserve"> </w:t>
      </w:r>
      <w:r>
        <w:rPr>
          <w:rFonts w:eastAsia="Verdana" w:cs="Times New Roman" w:ascii="Times New Roman" w:hAnsi="Times New Roman"/>
          <w:bCs/>
          <w:iCs/>
          <w:color w:val="000000"/>
          <w:sz w:val="24"/>
          <w:szCs w:val="24"/>
          <w:lang w:val="pt-BR" w:eastAsia="zh-CN" w:bidi="ar-SA"/>
        </w:rPr>
        <w:t>possui</w:t>
      </w:r>
      <w:r>
        <w:rPr>
          <w:rFonts w:eastAsia="Verdana" w:cs="Times New Roman" w:ascii="Times New Roman" w:hAnsi="Times New Roman"/>
          <w:bCs/>
          <w:iCs/>
          <w:color w:val="000000"/>
          <w:spacing w:val="-2"/>
          <w:sz w:val="24"/>
          <w:szCs w:val="24"/>
          <w:lang w:val="pt-BR" w:eastAsia="zh-CN" w:bidi="ar-SA"/>
        </w:rPr>
        <w:t xml:space="preserve"> </w:t>
      </w:r>
      <w:r>
        <w:rPr>
          <w:rFonts w:eastAsia="Verdana" w:cs="Times New Roman" w:ascii="Times New Roman" w:hAnsi="Times New Roman"/>
          <w:bCs/>
          <w:iCs/>
          <w:color w:val="000000"/>
          <w:sz w:val="24"/>
          <w:szCs w:val="24"/>
          <w:lang w:val="pt-BR" w:eastAsia="zh-CN" w:bidi="ar-SA"/>
        </w:rPr>
        <w:t>seus</w:t>
      </w:r>
      <w:r>
        <w:rPr>
          <w:rFonts w:eastAsia="Verdana" w:cs="Times New Roman" w:ascii="Times New Roman" w:hAnsi="Times New Roman"/>
          <w:bCs/>
          <w:iCs/>
          <w:color w:val="000000"/>
          <w:spacing w:val="-2"/>
          <w:sz w:val="24"/>
          <w:szCs w:val="24"/>
          <w:lang w:val="pt-BR" w:eastAsia="zh-CN" w:bidi="ar-SA"/>
        </w:rPr>
        <w:t xml:space="preserve"> </w:t>
      </w:r>
      <w:r>
        <w:rPr>
          <w:rFonts w:eastAsia="Verdana" w:cs="Times New Roman" w:ascii="Times New Roman" w:hAnsi="Times New Roman"/>
          <w:bCs/>
          <w:iCs/>
          <w:color w:val="000000"/>
          <w:sz w:val="24"/>
          <w:szCs w:val="24"/>
          <w:lang w:val="pt-BR" w:eastAsia="zh-CN" w:bidi="ar-SA"/>
        </w:rPr>
        <w:t>recursos</w:t>
      </w:r>
      <w:r>
        <w:rPr>
          <w:rFonts w:eastAsia="Verdana" w:cs="Times New Roman" w:ascii="Times New Roman" w:hAnsi="Times New Roman"/>
          <w:bCs/>
          <w:iCs/>
          <w:color w:val="000000"/>
          <w:spacing w:val="-1"/>
          <w:sz w:val="24"/>
          <w:szCs w:val="24"/>
          <w:lang w:val="pt-BR" w:eastAsia="zh-CN" w:bidi="ar-SA"/>
        </w:rPr>
        <w:t xml:space="preserve"> </w:t>
      </w:r>
      <w:r>
        <w:rPr>
          <w:rFonts w:eastAsia="Verdana" w:cs="Times New Roman" w:ascii="Times New Roman" w:hAnsi="Times New Roman"/>
          <w:bCs/>
          <w:iCs/>
          <w:color w:val="000000"/>
          <w:sz w:val="24"/>
          <w:szCs w:val="24"/>
          <w:lang w:val="pt-BR" w:eastAsia="zh-CN" w:bidi="ar-SA"/>
        </w:rPr>
        <w:t>alocados,</w:t>
      </w:r>
      <w:r>
        <w:rPr>
          <w:rFonts w:eastAsia="Verdana" w:cs="Times New Roman" w:ascii="Times New Roman" w:hAnsi="Times New Roman"/>
          <w:bCs/>
          <w:iCs/>
          <w:color w:val="000000"/>
          <w:spacing w:val="-1"/>
          <w:sz w:val="24"/>
          <w:szCs w:val="24"/>
          <w:lang w:val="pt-BR" w:eastAsia="zh-CN" w:bidi="ar-SA"/>
        </w:rPr>
        <w:t xml:space="preserve"> </w:t>
      </w:r>
      <w:r>
        <w:rPr>
          <w:rFonts w:eastAsia="Verdana" w:cs="Times New Roman" w:ascii="Times New Roman" w:hAnsi="Times New Roman"/>
          <w:bCs/>
          <w:iCs/>
          <w:color w:val="000000"/>
          <w:sz w:val="24"/>
          <w:szCs w:val="24"/>
          <w:lang w:val="pt-BR" w:eastAsia="zh-CN" w:bidi="ar-SA"/>
        </w:rPr>
        <w:t>respondendo</w:t>
      </w:r>
      <w:r>
        <w:rPr>
          <w:rFonts w:eastAsia="Verdana" w:cs="Times New Roman" w:ascii="Times New Roman" w:hAnsi="Times New Roman"/>
          <w:bCs/>
          <w:iCs/>
          <w:color w:val="000000"/>
          <w:spacing w:val="-2"/>
          <w:sz w:val="24"/>
          <w:szCs w:val="24"/>
          <w:lang w:val="pt-BR" w:eastAsia="zh-CN" w:bidi="ar-SA"/>
        </w:rPr>
        <w:t xml:space="preserve"> </w:t>
      </w:r>
      <w:r>
        <w:rPr>
          <w:rFonts w:eastAsia="Verdana" w:cs="Times New Roman" w:ascii="Times New Roman" w:hAnsi="Times New Roman"/>
          <w:bCs/>
          <w:iCs/>
          <w:color w:val="000000"/>
          <w:sz w:val="24"/>
          <w:szCs w:val="24"/>
          <w:lang w:val="pt-BR" w:eastAsia="zh-CN" w:bidi="ar-SA"/>
        </w:rPr>
        <w:t>para</w:t>
      </w:r>
      <w:r>
        <w:rPr>
          <w:rFonts w:eastAsia="Verdana" w:cs="Times New Roman" w:ascii="Times New Roman" w:hAnsi="Times New Roman"/>
          <w:bCs/>
          <w:iCs/>
          <w:color w:val="000000"/>
          <w:spacing w:val="-3"/>
          <w:sz w:val="24"/>
          <w:szCs w:val="24"/>
          <w:lang w:val="pt-BR" w:eastAsia="zh-CN" w:bidi="ar-SA"/>
        </w:rPr>
        <w:t xml:space="preserve"> </w:t>
      </w:r>
      <w:r>
        <w:rPr>
          <w:rFonts w:eastAsia="Verdana" w:cs="Times New Roman" w:ascii="Times New Roman" w:hAnsi="Times New Roman"/>
          <w:bCs/>
          <w:iCs/>
          <w:color w:val="000000"/>
          <w:sz w:val="24"/>
          <w:szCs w:val="24"/>
          <w:lang w:val="pt-BR" w:eastAsia="zh-CN" w:bidi="ar-SA"/>
        </w:rPr>
        <w:t>cada</w:t>
      </w:r>
      <w:r>
        <w:rPr>
          <w:rFonts w:eastAsia="Verdana" w:cs="Times New Roman" w:ascii="Times New Roman" w:hAnsi="Times New Roman"/>
          <w:bCs/>
          <w:iCs/>
          <w:color w:val="000000"/>
          <w:spacing w:val="1"/>
          <w:sz w:val="24"/>
          <w:szCs w:val="24"/>
          <w:lang w:val="pt-BR" w:eastAsia="zh-CN" w:bidi="ar-SA"/>
        </w:rPr>
        <w:t xml:space="preserve"> </w:t>
      </w:r>
      <w:r>
        <w:rPr>
          <w:rFonts w:eastAsia="Verdana" w:cs="Times New Roman" w:ascii="Times New Roman" w:hAnsi="Times New Roman"/>
          <w:bCs/>
          <w:iCs/>
          <w:color w:val="000000"/>
          <w:sz w:val="24"/>
          <w:szCs w:val="24"/>
          <w:lang w:val="pt-BR" w:eastAsia="zh-CN" w:bidi="ar-SA"/>
        </w:rPr>
        <w:t>um</w:t>
      </w:r>
      <w:r>
        <w:rPr>
          <w:rFonts w:eastAsia="Verdana" w:cs="Times New Roman" w:ascii="Times New Roman" w:hAnsi="Times New Roman"/>
          <w:bCs/>
          <w:iCs/>
          <w:color w:val="000000"/>
          <w:spacing w:val="-2"/>
          <w:sz w:val="24"/>
          <w:szCs w:val="24"/>
          <w:lang w:val="pt-BR" w:eastAsia="zh-CN" w:bidi="ar-SA"/>
        </w:rPr>
        <w:t xml:space="preserve"> </w:t>
      </w:r>
      <w:r>
        <w:rPr>
          <w:rFonts w:eastAsia="Verdana" w:cs="Times New Roman" w:ascii="Times New Roman" w:hAnsi="Times New Roman"/>
          <w:bCs/>
          <w:iCs/>
          <w:color w:val="000000"/>
          <w:sz w:val="24"/>
          <w:szCs w:val="24"/>
          <w:lang w:val="pt-BR" w:eastAsia="zh-CN" w:bidi="ar-SA"/>
        </w:rPr>
        <w:t>deles:</w:t>
      </w:r>
    </w:p>
    <w:p>
      <w:pPr>
        <w:pStyle w:val="ListParagraph"/>
        <w:widowControl/>
        <w:numPr>
          <w:ilvl w:val="0"/>
          <w:numId w:val="2"/>
        </w:numPr>
        <w:tabs>
          <w:tab w:val="clear" w:pos="720"/>
          <w:tab w:val="left" w:pos="570" w:leader="none"/>
        </w:tabs>
        <w:suppressAutoHyphens w:val="true"/>
        <w:bidi w:val="0"/>
        <w:spacing w:lineRule="auto" w:line="276" w:before="94" w:after="0"/>
        <w:ind w:left="624" w:right="0" w:hanging="397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Há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ativos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financeiros</w:t>
      </w:r>
      <w:r>
        <w:rPr>
          <w:rFonts w:ascii="Times New Roman" w:hAnsi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não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emitidos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por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Instituição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Financeira?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640" w:leader="none"/>
          <w:tab w:val="left" w:pos="641" w:leader="none"/>
        </w:tabs>
        <w:spacing w:lineRule="auto" w:line="276" w:before="161" w:after="0"/>
        <w:ind w:left="640" w:right="0" w:hanging="421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Há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ativos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financeiros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não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emitidos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por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companhias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abertas,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operacionais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registradas</w:t>
      </w:r>
      <w:r>
        <w:rPr>
          <w:rFonts w:ascii="Times New Roman" w:hAnsi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na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CVM?</w:t>
      </w:r>
    </w:p>
    <w:p>
      <w:pPr>
        <w:pStyle w:val="ListParagraph"/>
        <w:widowControl/>
        <w:numPr>
          <w:ilvl w:val="0"/>
          <w:numId w:val="2"/>
        </w:numPr>
        <w:tabs>
          <w:tab w:val="clear" w:pos="720"/>
          <w:tab w:val="left" w:pos="641" w:leader="none"/>
        </w:tabs>
        <w:suppressAutoHyphens w:val="true"/>
        <w:bidi w:val="0"/>
        <w:spacing w:lineRule="auto" w:line="276" w:before="160" w:after="0"/>
        <w:ind w:left="624" w:right="57" w:hanging="397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Há ativos financeiros emitidos por Securitizadoras (Certificado de Recebíveis Imobiliários (CRI) ou Certificados de Recebíveis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do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Agronegócio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(CRA)?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640" w:leader="none"/>
          <w:tab w:val="left" w:pos="641" w:leader="none"/>
        </w:tabs>
        <w:spacing w:lineRule="auto" w:line="276" w:before="159" w:after="0"/>
        <w:ind w:left="640" w:right="0" w:hanging="421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Há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ativos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financeiros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que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não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são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cotas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de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classe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sênior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de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Fundo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de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Investimento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em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Direitos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Creditórios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(FIDC)?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640" w:leader="none"/>
          <w:tab w:val="left" w:pos="641" w:leader="none"/>
        </w:tabs>
        <w:spacing w:lineRule="auto" w:line="276" w:before="161" w:after="0"/>
        <w:ind w:left="640" w:right="0" w:hanging="421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Há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ativos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financeiros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ou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que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os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respectivos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emissores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não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são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considerados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de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baixo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Risco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de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Crédito?</w:t>
      </w:r>
    </w:p>
    <w:p>
      <w:pPr>
        <w:pStyle w:val="Corpodotexto"/>
        <w:widowControl/>
        <w:suppressAutoHyphens w:val="true"/>
        <w:bidi w:val="0"/>
        <w:spacing w:lineRule="auto" w:line="276" w:before="160" w:after="0"/>
        <w:ind w:left="227" w:right="0" w:hanging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• </w:t>
      </w:r>
      <w:r>
        <w:rPr>
          <w:sz w:val="24"/>
          <w:szCs w:val="24"/>
        </w:rPr>
        <w:t>A consultoria que não possuir integração para lançamento do DAIR (Demonstrativo das Aplicações e Investimentos dos Recursos)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 CADPREV (Sistema de Informações dos Regimes Públicos de Previdência Social) deverá fornecer o arquivo “XML” do DAIR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pronto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realizado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upload</w:t>
      </w:r>
      <w:r>
        <w:rPr>
          <w:i/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CADPREV.</w:t>
      </w:r>
    </w:p>
    <w:p>
      <w:pPr>
        <w:pStyle w:val="Corpodotexto"/>
        <w:widowControl/>
        <w:suppressAutoHyphens w:val="true"/>
        <w:bidi w:val="0"/>
        <w:spacing w:lineRule="auto" w:line="276" w:before="0" w:after="140"/>
        <w:ind w:left="227" w:right="0" w:hanging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br/>
        <w:t xml:space="preserve">• Elaboração do estudo de </w:t>
      </w:r>
      <w:r>
        <w:rPr>
          <w:i/>
          <w:sz w:val="24"/>
          <w:szCs w:val="24"/>
        </w:rPr>
        <w:t xml:space="preserve">Asset Liability Management </w:t>
      </w:r>
      <w:r>
        <w:rPr>
          <w:sz w:val="24"/>
          <w:szCs w:val="24"/>
        </w:rPr>
        <w:t>(</w:t>
      </w:r>
      <w:r>
        <w:rPr>
          <w:i/>
          <w:sz w:val="24"/>
          <w:szCs w:val="24"/>
        </w:rPr>
        <w:t>ALM</w:t>
      </w:r>
      <w:r>
        <w:rPr>
          <w:sz w:val="24"/>
          <w:szCs w:val="24"/>
        </w:rPr>
        <w:t>), incluindo, de um lado, a macro alocação através da construção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Fronteira Eficiente de </w:t>
      </w:r>
      <w:r>
        <w:rPr>
          <w:i/>
          <w:sz w:val="24"/>
          <w:szCs w:val="24"/>
        </w:rPr>
        <w:t xml:space="preserve">Markowitz </w:t>
      </w:r>
      <w:r>
        <w:rPr>
          <w:sz w:val="24"/>
          <w:szCs w:val="24"/>
        </w:rPr>
        <w:t xml:space="preserve">e, de outro, a modelagem de </w:t>
      </w:r>
      <w:r>
        <w:rPr>
          <w:i/>
          <w:sz w:val="24"/>
          <w:szCs w:val="24"/>
        </w:rPr>
        <w:t>Cash Flow Matching</w:t>
      </w:r>
      <w:r>
        <w:rPr>
          <w:sz w:val="24"/>
          <w:szCs w:val="24"/>
        </w:rPr>
        <w:t>, em consonância com a Resolução CMN nº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4963/2021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normas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da Secretaria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Previdência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Ministério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Economia.</w:t>
      </w:r>
    </w:p>
    <w:p>
      <w:pPr>
        <w:pStyle w:val="Corpodotexto"/>
        <w:widowControl/>
        <w:suppressAutoHyphens w:val="true"/>
        <w:bidi w:val="0"/>
        <w:spacing w:lineRule="auto" w:line="276" w:before="0" w:after="140"/>
        <w:ind w:left="227" w:right="0" w:hanging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• </w:t>
      </w:r>
      <w:r>
        <w:rPr>
          <w:sz w:val="24"/>
          <w:szCs w:val="24"/>
        </w:rPr>
        <w:t>Reunião mensal com o Comitê de Investimentos para mensuração de resultados e expectativas de cenários econômicos.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Indicações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oportunidades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investimentos.</w:t>
      </w:r>
    </w:p>
    <w:p>
      <w:pPr>
        <w:pStyle w:val="Corpodotexto"/>
        <w:spacing w:lineRule="auto" w:line="276"/>
        <w:ind w:left="220" w:right="0" w:hanging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• </w:t>
      </w:r>
      <w:r>
        <w:rPr>
          <w:sz w:val="24"/>
          <w:szCs w:val="24"/>
        </w:rPr>
        <w:t>Alerta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sobre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eventuais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alterações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mercado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legislações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normativas.</w:t>
      </w:r>
    </w:p>
    <w:p>
      <w:pPr>
        <w:pStyle w:val="Corpodotexto"/>
        <w:spacing w:lineRule="auto" w:line="276"/>
        <w:ind w:left="220" w:right="0" w:hanging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• </w:t>
      </w:r>
      <w:r>
        <w:rPr>
          <w:sz w:val="24"/>
          <w:szCs w:val="24"/>
        </w:rPr>
        <w:t>Análises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conclusivas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investimentos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fundos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outros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ativos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ofertados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Instituto de Previdência dos Servidores Públicos do Município de São Gabriel da Palha - SGP-PREV</w:t>
      </w:r>
      <w:r>
        <w:rPr>
          <w:sz w:val="24"/>
          <w:szCs w:val="24"/>
        </w:rPr>
        <w:t>.</w:t>
      </w:r>
    </w:p>
    <w:p>
      <w:pPr>
        <w:pStyle w:val="Corpodotexto"/>
        <w:spacing w:lineRule="auto" w:line="276"/>
        <w:ind w:left="220" w:right="0" w:hanging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• </w:t>
      </w:r>
      <w:r>
        <w:rPr>
          <w:sz w:val="24"/>
          <w:szCs w:val="24"/>
        </w:rPr>
        <w:t>Auxílio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elaboração,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alteração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política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investimentos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preenchimento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 DPIN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(Demonstrativo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Política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Anual de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Investimentos).</w:t>
      </w:r>
    </w:p>
    <w:p>
      <w:pPr>
        <w:pStyle w:val="ListParagraph"/>
        <w:tabs>
          <w:tab w:val="clear" w:pos="720"/>
          <w:tab w:val="left" w:pos="640" w:leader="none"/>
          <w:tab w:val="left" w:pos="641" w:leader="none"/>
        </w:tabs>
        <w:spacing w:lineRule="auto" w:line="276" w:before="160" w:after="0"/>
        <w:ind w:left="219" w:right="0" w:hanging="0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eastAsia="Verdana" w:cs="Times New Roman" w:ascii="Times New Roman" w:hAnsi="Times New Roman"/>
          <w:bCs/>
          <w:iCs/>
          <w:color w:val="000000"/>
          <w:sz w:val="24"/>
          <w:szCs w:val="24"/>
          <w:lang w:val="pt-BR" w:eastAsia="zh-CN" w:bidi="ar-SA"/>
        </w:rPr>
        <w:t xml:space="preserve">• </w:t>
      </w:r>
      <w:r>
        <w:rPr>
          <w:rFonts w:eastAsia="Verdana" w:cs="Times New Roman" w:ascii="Times New Roman" w:hAnsi="Times New Roman"/>
          <w:bCs/>
          <w:iCs/>
          <w:color w:val="000000"/>
          <w:sz w:val="24"/>
          <w:szCs w:val="24"/>
          <w:lang w:val="pt-BR" w:eastAsia="zh-CN" w:bidi="ar-SA"/>
        </w:rPr>
        <w:t>Sugestões de respostas aos órgãos de controle interno e externo, em situações pertinentes à carteira de investimentos.</w:t>
      </w:r>
      <w:r>
        <w:rPr>
          <w:rFonts w:eastAsia="Verdana" w:cs="Times New Roman" w:ascii="Times New Roman" w:hAnsi="Times New Roman"/>
          <w:bCs/>
          <w:iCs/>
          <w:color w:val="000000"/>
          <w:spacing w:val="-47"/>
          <w:sz w:val="24"/>
          <w:szCs w:val="24"/>
          <w:lang w:val="pt-BR" w:eastAsia="zh-CN" w:bidi="ar-SA"/>
        </w:rPr>
        <w:t xml:space="preserve"> </w:t>
      </w:r>
      <w:r>
        <w:rPr>
          <w:rFonts w:eastAsia="Verdana" w:cs="Times New Roman" w:ascii="Times New Roman" w:hAnsi="Times New Roman"/>
          <w:bCs/>
          <w:iCs/>
          <w:color w:val="000000"/>
          <w:sz w:val="24"/>
          <w:szCs w:val="24"/>
          <w:lang w:val="pt-BR" w:eastAsia="zh-CN" w:bidi="ar-SA"/>
        </w:rPr>
        <w:t>Auxílio</w:t>
      </w:r>
      <w:r>
        <w:rPr>
          <w:rFonts w:eastAsia="Verdana" w:cs="Times New Roman" w:ascii="Times New Roman" w:hAnsi="Times New Roman"/>
          <w:bCs/>
          <w:iCs/>
          <w:color w:val="000000"/>
          <w:spacing w:val="-3"/>
          <w:sz w:val="24"/>
          <w:szCs w:val="24"/>
          <w:lang w:val="pt-BR" w:eastAsia="zh-CN" w:bidi="ar-SA"/>
        </w:rPr>
        <w:t xml:space="preserve"> </w:t>
      </w:r>
      <w:r>
        <w:rPr>
          <w:rFonts w:eastAsia="Verdana" w:cs="Times New Roman" w:ascii="Times New Roman" w:hAnsi="Times New Roman"/>
          <w:bCs/>
          <w:iCs/>
          <w:color w:val="000000"/>
          <w:sz w:val="24"/>
          <w:szCs w:val="24"/>
          <w:lang w:val="pt-BR" w:eastAsia="zh-CN" w:bidi="ar-SA"/>
        </w:rPr>
        <w:t>na</w:t>
      </w:r>
      <w:r>
        <w:rPr>
          <w:rFonts w:eastAsia="Verdana" w:cs="Times New Roman" w:ascii="Times New Roman" w:hAnsi="Times New Roman"/>
          <w:bCs/>
          <w:iCs/>
          <w:color w:val="000000"/>
          <w:spacing w:val="1"/>
          <w:sz w:val="24"/>
          <w:szCs w:val="24"/>
          <w:lang w:val="pt-BR" w:eastAsia="zh-CN" w:bidi="ar-SA"/>
        </w:rPr>
        <w:t xml:space="preserve"> </w:t>
      </w:r>
      <w:r>
        <w:rPr>
          <w:rFonts w:eastAsia="Verdana" w:cs="Times New Roman" w:ascii="Times New Roman" w:hAnsi="Times New Roman"/>
          <w:bCs/>
          <w:iCs/>
          <w:color w:val="000000"/>
          <w:sz w:val="24"/>
          <w:szCs w:val="24"/>
          <w:lang w:val="pt-BR" w:eastAsia="zh-CN" w:bidi="ar-SA"/>
        </w:rPr>
        <w:t>análise</w:t>
      </w:r>
      <w:r>
        <w:rPr>
          <w:rFonts w:eastAsia="Verdana" w:cs="Times New Roman" w:ascii="Times New Roman" w:hAnsi="Times New Roman"/>
          <w:bCs/>
          <w:iCs/>
          <w:color w:val="000000"/>
          <w:spacing w:val="-2"/>
          <w:sz w:val="24"/>
          <w:szCs w:val="24"/>
          <w:lang w:val="pt-BR" w:eastAsia="zh-CN" w:bidi="ar-SA"/>
        </w:rPr>
        <w:t xml:space="preserve"> </w:t>
      </w:r>
      <w:r>
        <w:rPr>
          <w:rFonts w:eastAsia="Verdana" w:cs="Times New Roman" w:ascii="Times New Roman" w:hAnsi="Times New Roman"/>
          <w:bCs/>
          <w:iCs/>
          <w:color w:val="000000"/>
          <w:sz w:val="24"/>
          <w:szCs w:val="24"/>
          <w:lang w:val="pt-BR" w:eastAsia="zh-CN" w:bidi="ar-SA"/>
        </w:rPr>
        <w:t>do</w:t>
      </w:r>
      <w:r>
        <w:rPr>
          <w:rFonts w:eastAsia="Verdana" w:cs="Times New Roman" w:ascii="Times New Roman" w:hAnsi="Times New Roman"/>
          <w:bCs/>
          <w:iCs/>
          <w:color w:val="000000"/>
          <w:spacing w:val="1"/>
          <w:sz w:val="24"/>
          <w:szCs w:val="24"/>
          <w:lang w:val="pt-BR" w:eastAsia="zh-CN" w:bidi="ar-SA"/>
        </w:rPr>
        <w:t xml:space="preserve"> </w:t>
      </w:r>
      <w:r>
        <w:rPr>
          <w:rFonts w:eastAsia="Verdana" w:cs="Times New Roman" w:ascii="Times New Roman" w:hAnsi="Times New Roman"/>
          <w:bCs/>
          <w:iCs/>
          <w:color w:val="000000"/>
          <w:sz w:val="24"/>
          <w:szCs w:val="24"/>
          <w:lang w:val="pt-BR" w:eastAsia="zh-CN" w:bidi="ar-SA"/>
        </w:rPr>
        <w:t>credenciamento</w:t>
      </w:r>
      <w:r>
        <w:rPr>
          <w:rFonts w:eastAsia="Verdana" w:cs="Times New Roman" w:ascii="Times New Roman" w:hAnsi="Times New Roman"/>
          <w:bCs/>
          <w:iCs/>
          <w:color w:val="000000"/>
          <w:spacing w:val="-3"/>
          <w:sz w:val="24"/>
          <w:szCs w:val="24"/>
          <w:lang w:val="pt-BR" w:eastAsia="zh-CN" w:bidi="ar-SA"/>
        </w:rPr>
        <w:t xml:space="preserve"> </w:t>
      </w:r>
      <w:r>
        <w:rPr>
          <w:rFonts w:eastAsia="Verdana" w:cs="Times New Roman" w:ascii="Times New Roman" w:hAnsi="Times New Roman"/>
          <w:bCs/>
          <w:iCs/>
          <w:color w:val="000000"/>
          <w:sz w:val="24"/>
          <w:szCs w:val="24"/>
          <w:lang w:val="pt-BR" w:eastAsia="zh-CN" w:bidi="ar-SA"/>
        </w:rPr>
        <w:t>das</w:t>
      </w:r>
      <w:r>
        <w:rPr>
          <w:rFonts w:eastAsia="Verdana" w:cs="Times New Roman" w:ascii="Times New Roman" w:hAnsi="Times New Roman"/>
          <w:bCs/>
          <w:iCs/>
          <w:color w:val="000000"/>
          <w:spacing w:val="-1"/>
          <w:sz w:val="24"/>
          <w:szCs w:val="24"/>
          <w:lang w:val="pt-BR" w:eastAsia="zh-CN" w:bidi="ar-SA"/>
        </w:rPr>
        <w:t xml:space="preserve"> </w:t>
      </w:r>
      <w:r>
        <w:rPr>
          <w:rFonts w:eastAsia="Verdana" w:cs="Times New Roman" w:ascii="Times New Roman" w:hAnsi="Times New Roman"/>
          <w:bCs/>
          <w:iCs/>
          <w:color w:val="000000"/>
          <w:sz w:val="24"/>
          <w:szCs w:val="24"/>
          <w:lang w:val="pt-BR" w:eastAsia="zh-CN" w:bidi="ar-SA"/>
        </w:rPr>
        <w:t>Instituições</w:t>
      </w:r>
      <w:r>
        <w:rPr>
          <w:rFonts w:eastAsia="Verdana" w:cs="Times New Roman" w:ascii="Times New Roman" w:hAnsi="Times New Roman"/>
          <w:bCs/>
          <w:iCs/>
          <w:color w:val="000000"/>
          <w:spacing w:val="-1"/>
          <w:sz w:val="24"/>
          <w:szCs w:val="24"/>
          <w:lang w:val="pt-BR" w:eastAsia="zh-CN" w:bidi="ar-SA"/>
        </w:rPr>
        <w:t xml:space="preserve"> </w:t>
      </w:r>
      <w:r>
        <w:rPr>
          <w:rFonts w:eastAsia="Verdana" w:cs="Times New Roman" w:ascii="Times New Roman" w:hAnsi="Times New Roman"/>
          <w:bCs/>
          <w:iCs/>
          <w:color w:val="000000"/>
          <w:sz w:val="24"/>
          <w:szCs w:val="24"/>
          <w:lang w:val="pt-BR" w:eastAsia="zh-CN" w:bidi="ar-SA"/>
        </w:rPr>
        <w:t>Financeiras;</w:t>
      </w:r>
    </w:p>
    <w:p>
      <w:pPr>
        <w:pStyle w:val="ListParagraph"/>
        <w:tabs>
          <w:tab w:val="clear" w:pos="720"/>
          <w:tab w:val="left" w:pos="640" w:leader="none"/>
          <w:tab w:val="left" w:pos="641" w:leader="none"/>
        </w:tabs>
        <w:spacing w:lineRule="auto" w:line="276" w:before="160" w:after="0"/>
        <w:ind w:left="219" w:right="0" w:hanging="0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eastAsia="Verdana" w:cs="Times New Roman" w:ascii="Times New Roman" w:hAnsi="Times New Roman"/>
          <w:bCs/>
          <w:iCs/>
          <w:color w:val="000000"/>
          <w:sz w:val="24"/>
          <w:szCs w:val="24"/>
          <w:lang w:val="pt-BR" w:eastAsia="zh-CN" w:bidi="ar-SA"/>
        </w:rPr>
        <w:t xml:space="preserve">• </w:t>
      </w:r>
      <w:r>
        <w:rPr>
          <w:rFonts w:eastAsia="Verdana" w:cs="Times New Roman" w:ascii="Times New Roman" w:hAnsi="Times New Roman"/>
          <w:bCs/>
          <w:iCs/>
          <w:color w:val="000000"/>
          <w:sz w:val="24"/>
          <w:szCs w:val="24"/>
          <w:lang w:val="pt-BR" w:eastAsia="zh-CN" w:bidi="ar-SA"/>
        </w:rPr>
        <w:t>Fornecer</w:t>
      </w:r>
      <w:r>
        <w:rPr>
          <w:rFonts w:eastAsia="Verdana" w:cs="Times New Roman" w:ascii="Times New Roman" w:hAnsi="Times New Roman"/>
          <w:bCs/>
          <w:iCs/>
          <w:color w:val="000000"/>
          <w:spacing w:val="-4"/>
          <w:sz w:val="24"/>
          <w:szCs w:val="24"/>
          <w:lang w:val="pt-BR" w:eastAsia="zh-CN" w:bidi="ar-SA"/>
        </w:rPr>
        <w:t xml:space="preserve"> </w:t>
      </w:r>
      <w:r>
        <w:rPr>
          <w:rFonts w:eastAsia="Verdana" w:cs="Times New Roman" w:ascii="Times New Roman" w:hAnsi="Times New Roman"/>
          <w:bCs/>
          <w:iCs/>
          <w:color w:val="000000"/>
          <w:sz w:val="24"/>
          <w:szCs w:val="24"/>
          <w:lang w:val="pt-BR" w:eastAsia="zh-CN" w:bidi="ar-SA"/>
        </w:rPr>
        <w:t>Sistema</w:t>
      </w:r>
      <w:r>
        <w:rPr>
          <w:rFonts w:eastAsia="Verdana" w:cs="Times New Roman" w:ascii="Times New Roman" w:hAnsi="Times New Roman"/>
          <w:bCs/>
          <w:iCs/>
          <w:color w:val="000000"/>
          <w:spacing w:val="-4"/>
          <w:sz w:val="24"/>
          <w:szCs w:val="24"/>
          <w:lang w:val="pt-BR" w:eastAsia="zh-CN" w:bidi="ar-SA"/>
        </w:rPr>
        <w:t xml:space="preserve"> </w:t>
      </w:r>
      <w:r>
        <w:rPr>
          <w:rFonts w:eastAsia="Verdana" w:cs="Times New Roman" w:ascii="Times New Roman" w:hAnsi="Times New Roman"/>
          <w:bCs/>
          <w:iCs/>
          <w:color w:val="000000"/>
          <w:sz w:val="24"/>
          <w:szCs w:val="24"/>
          <w:lang w:val="pt-BR" w:eastAsia="zh-CN" w:bidi="ar-SA"/>
        </w:rPr>
        <w:t>de</w:t>
      </w:r>
      <w:r>
        <w:rPr>
          <w:rFonts w:eastAsia="Verdana" w:cs="Times New Roman" w:ascii="Times New Roman" w:hAnsi="Times New Roman"/>
          <w:bCs/>
          <w:iCs/>
          <w:color w:val="000000"/>
          <w:spacing w:val="-4"/>
          <w:sz w:val="24"/>
          <w:szCs w:val="24"/>
          <w:lang w:val="pt-BR" w:eastAsia="zh-CN" w:bidi="ar-SA"/>
        </w:rPr>
        <w:t xml:space="preserve"> </w:t>
      </w:r>
      <w:r>
        <w:rPr>
          <w:rFonts w:eastAsia="Verdana" w:cs="Times New Roman" w:ascii="Times New Roman" w:hAnsi="Times New Roman"/>
          <w:bCs/>
          <w:iCs/>
          <w:color w:val="000000"/>
          <w:sz w:val="24"/>
          <w:szCs w:val="24"/>
          <w:lang w:val="pt-BR" w:eastAsia="zh-CN" w:bidi="ar-SA"/>
        </w:rPr>
        <w:t>Informações</w:t>
      </w:r>
      <w:r>
        <w:rPr>
          <w:rFonts w:eastAsia="Verdana" w:cs="Times New Roman" w:ascii="Times New Roman" w:hAnsi="Times New Roman"/>
          <w:bCs/>
          <w:iCs/>
          <w:color w:val="000000"/>
          <w:spacing w:val="-3"/>
          <w:sz w:val="24"/>
          <w:szCs w:val="24"/>
          <w:lang w:val="pt-BR" w:eastAsia="zh-CN" w:bidi="ar-SA"/>
        </w:rPr>
        <w:t xml:space="preserve"> </w:t>
      </w:r>
      <w:r>
        <w:rPr>
          <w:rFonts w:eastAsia="Verdana" w:cs="Times New Roman" w:ascii="Times New Roman" w:hAnsi="Times New Roman"/>
          <w:bCs/>
          <w:iCs/>
          <w:color w:val="000000"/>
          <w:sz w:val="24"/>
          <w:szCs w:val="24"/>
          <w:lang w:val="pt-BR" w:eastAsia="zh-CN" w:bidi="ar-SA"/>
        </w:rPr>
        <w:t>Gerenciais</w:t>
      </w:r>
      <w:r>
        <w:rPr>
          <w:rFonts w:eastAsia="Verdana" w:cs="Times New Roman" w:ascii="Times New Roman" w:hAnsi="Times New Roman"/>
          <w:bCs/>
          <w:iCs/>
          <w:color w:val="000000"/>
          <w:spacing w:val="-3"/>
          <w:sz w:val="24"/>
          <w:szCs w:val="24"/>
          <w:lang w:val="pt-BR" w:eastAsia="zh-CN" w:bidi="ar-SA"/>
        </w:rPr>
        <w:t xml:space="preserve"> </w:t>
      </w:r>
      <w:r>
        <w:rPr>
          <w:rFonts w:eastAsia="Verdana" w:cs="Times New Roman" w:ascii="Times New Roman" w:hAnsi="Times New Roman"/>
          <w:bCs/>
          <w:iCs/>
          <w:color w:val="000000"/>
          <w:sz w:val="24"/>
          <w:szCs w:val="24"/>
          <w:lang w:val="pt-BR" w:eastAsia="zh-CN" w:bidi="ar-SA"/>
        </w:rPr>
        <w:t>com</w:t>
      </w:r>
      <w:r>
        <w:rPr>
          <w:rFonts w:eastAsia="Verdana" w:cs="Times New Roman" w:ascii="Times New Roman" w:hAnsi="Times New Roman"/>
          <w:bCs/>
          <w:iCs/>
          <w:color w:val="000000"/>
          <w:spacing w:val="-3"/>
          <w:sz w:val="24"/>
          <w:szCs w:val="24"/>
          <w:lang w:val="pt-BR" w:eastAsia="zh-CN" w:bidi="ar-SA"/>
        </w:rPr>
        <w:t xml:space="preserve"> </w:t>
      </w:r>
      <w:r>
        <w:rPr>
          <w:rFonts w:eastAsia="Verdana" w:cs="Times New Roman" w:ascii="Times New Roman" w:hAnsi="Times New Roman"/>
          <w:bCs/>
          <w:iCs/>
          <w:color w:val="000000"/>
          <w:sz w:val="24"/>
          <w:szCs w:val="24"/>
          <w:lang w:val="pt-BR" w:eastAsia="zh-CN" w:bidi="ar-SA"/>
        </w:rPr>
        <w:t>no</w:t>
      </w:r>
      <w:r>
        <w:rPr>
          <w:rFonts w:eastAsia="Verdana" w:cs="Times New Roman" w:ascii="Times New Roman" w:hAnsi="Times New Roman"/>
          <w:bCs/>
          <w:iCs/>
          <w:color w:val="000000"/>
          <w:spacing w:val="-3"/>
          <w:sz w:val="24"/>
          <w:szCs w:val="24"/>
          <w:lang w:val="pt-BR" w:eastAsia="zh-CN" w:bidi="ar-SA"/>
        </w:rPr>
        <w:t xml:space="preserve"> </w:t>
      </w:r>
      <w:r>
        <w:rPr>
          <w:rFonts w:eastAsia="Verdana" w:cs="Times New Roman" w:ascii="Times New Roman" w:hAnsi="Times New Roman"/>
          <w:bCs/>
          <w:iCs/>
          <w:color w:val="000000"/>
          <w:sz w:val="24"/>
          <w:szCs w:val="24"/>
          <w:lang w:val="pt-BR" w:eastAsia="zh-CN" w:bidi="ar-SA"/>
        </w:rPr>
        <w:t>mínimo</w:t>
      </w:r>
      <w:r>
        <w:rPr>
          <w:rFonts w:eastAsia="Verdana" w:cs="Times New Roman" w:ascii="Times New Roman" w:hAnsi="Times New Roman"/>
          <w:bCs/>
          <w:iCs/>
          <w:color w:val="000000"/>
          <w:spacing w:val="-1"/>
          <w:sz w:val="24"/>
          <w:szCs w:val="24"/>
          <w:lang w:val="pt-BR" w:eastAsia="zh-CN" w:bidi="ar-SA"/>
        </w:rPr>
        <w:t xml:space="preserve"> </w:t>
      </w:r>
      <w:r>
        <w:rPr>
          <w:rFonts w:eastAsia="Verdana" w:cs="Times New Roman" w:ascii="Times New Roman" w:hAnsi="Times New Roman"/>
          <w:bCs/>
          <w:iCs/>
          <w:color w:val="000000"/>
          <w:sz w:val="24"/>
          <w:szCs w:val="24"/>
          <w:lang w:val="pt-BR" w:eastAsia="zh-CN" w:bidi="ar-SA"/>
        </w:rPr>
        <w:t>as</w:t>
      </w:r>
      <w:r>
        <w:rPr>
          <w:rFonts w:eastAsia="Verdana" w:cs="Times New Roman" w:ascii="Times New Roman" w:hAnsi="Times New Roman"/>
          <w:bCs/>
          <w:iCs/>
          <w:color w:val="000000"/>
          <w:spacing w:val="-3"/>
          <w:sz w:val="24"/>
          <w:szCs w:val="24"/>
          <w:lang w:val="pt-BR" w:eastAsia="zh-CN" w:bidi="ar-SA"/>
        </w:rPr>
        <w:t xml:space="preserve"> </w:t>
      </w:r>
      <w:r>
        <w:rPr>
          <w:rFonts w:eastAsia="Verdana" w:cs="Times New Roman" w:ascii="Times New Roman" w:hAnsi="Times New Roman"/>
          <w:bCs/>
          <w:iCs/>
          <w:color w:val="000000"/>
          <w:sz w:val="24"/>
          <w:szCs w:val="24"/>
          <w:lang w:val="pt-BR" w:eastAsia="zh-CN" w:bidi="ar-SA"/>
        </w:rPr>
        <w:t>seguintes</w:t>
      </w:r>
      <w:r>
        <w:rPr>
          <w:rFonts w:eastAsia="Verdana" w:cs="Times New Roman" w:ascii="Times New Roman" w:hAnsi="Times New Roman"/>
          <w:bCs/>
          <w:iCs/>
          <w:color w:val="000000"/>
          <w:spacing w:val="-3"/>
          <w:sz w:val="24"/>
          <w:szCs w:val="24"/>
          <w:lang w:val="pt-BR" w:eastAsia="zh-CN" w:bidi="ar-SA"/>
        </w:rPr>
        <w:t xml:space="preserve"> </w:t>
      </w:r>
      <w:r>
        <w:rPr>
          <w:rFonts w:eastAsia="Verdana" w:cs="Times New Roman" w:ascii="Times New Roman" w:hAnsi="Times New Roman"/>
          <w:bCs/>
          <w:iCs/>
          <w:color w:val="000000"/>
          <w:sz w:val="24"/>
          <w:szCs w:val="24"/>
          <w:lang w:val="pt-BR" w:eastAsia="zh-CN" w:bidi="ar-SA"/>
        </w:rPr>
        <w:t>informações:</w:t>
      </w:r>
    </w:p>
    <w:p>
      <w:pPr>
        <w:pStyle w:val="Corpodotexto"/>
        <w:spacing w:lineRule="auto" w:line="276" w:before="6" w:after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640" w:leader="none"/>
          <w:tab w:val="left" w:pos="641" w:leader="none"/>
        </w:tabs>
        <w:spacing w:lineRule="auto" w:line="276" w:before="0" w:after="0"/>
        <w:ind w:left="640" w:right="0" w:hanging="421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Carta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Econômica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Mensal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de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análise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de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conjuntura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econômica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investimentos;</w:t>
      </w:r>
    </w:p>
    <w:p>
      <w:pPr>
        <w:pStyle w:val="ListParagraph"/>
        <w:widowControl/>
        <w:numPr>
          <w:ilvl w:val="0"/>
          <w:numId w:val="2"/>
        </w:numPr>
        <w:tabs>
          <w:tab w:val="clear" w:pos="720"/>
          <w:tab w:val="left" w:pos="641" w:leader="none"/>
        </w:tabs>
        <w:suppressAutoHyphens w:val="true"/>
        <w:bidi w:val="0"/>
        <w:spacing w:lineRule="auto" w:line="276" w:before="160" w:after="0"/>
        <w:ind w:left="624" w:right="57" w:hanging="397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Relatório de Enquadramento diário (para todos os dias úteis que se tenha mercado financeiro funcionando) da carteira do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RPPS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com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relação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aos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cinco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segmentos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de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investimentos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permitidos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pela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Resolução CMN nº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4.963/21;</w:t>
      </w:r>
    </w:p>
    <w:p>
      <w:pPr>
        <w:pStyle w:val="ListParagraph"/>
        <w:widowControl/>
        <w:numPr>
          <w:ilvl w:val="0"/>
          <w:numId w:val="2"/>
        </w:numPr>
        <w:tabs>
          <w:tab w:val="clear" w:pos="720"/>
          <w:tab w:val="left" w:pos="641" w:leader="none"/>
        </w:tabs>
        <w:suppressAutoHyphens w:val="true"/>
        <w:bidi w:val="0"/>
        <w:spacing w:lineRule="auto" w:line="276" w:before="160" w:after="0"/>
        <w:ind w:left="624" w:right="0" w:hanging="397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Relatório de Compliance diário (para todos os dias úteis que se tenha mercado financeiro funcionando) da carteira do RPPS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tendo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em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vista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alocação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objetivo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definida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em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sua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respectiva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Política de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Investimentos.</w:t>
      </w:r>
    </w:p>
    <w:p>
      <w:pPr>
        <w:pStyle w:val="Corpodotexto"/>
        <w:spacing w:lineRule="auto" w:line="276" w:before="4" w:after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ListParagraph"/>
        <w:widowControl/>
        <w:numPr>
          <w:ilvl w:val="0"/>
          <w:numId w:val="2"/>
        </w:numPr>
        <w:tabs>
          <w:tab w:val="clear" w:pos="720"/>
          <w:tab w:val="left" w:pos="641" w:leader="none"/>
        </w:tabs>
        <w:suppressAutoHyphens w:val="true"/>
        <w:bidi w:val="0"/>
        <w:spacing w:lineRule="auto" w:line="276" w:before="1" w:after="0"/>
        <w:ind w:left="624" w:right="57" w:hanging="397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Relatório de Compliance diário (para todos os dias úteis que se tenha mercado financeiro funcionando) da carteira do RPPS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tendo</w:t>
      </w:r>
      <w:r>
        <w:rPr>
          <w:rFonts w:ascii="Times New Roman" w:hAnsi="Times New Roman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em</w:t>
      </w:r>
      <w:r>
        <w:rPr>
          <w:rFonts w:ascii="Times New Roman" w:hAnsi="Times New Roman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vista</w:t>
      </w:r>
      <w:r>
        <w:rPr>
          <w:rFonts w:ascii="Times New Roman" w:hAnsi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alocação</w:t>
      </w:r>
      <w:r>
        <w:rPr>
          <w:rFonts w:ascii="Times New Roman" w:hAnsi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objetivo</w:t>
      </w:r>
      <w:r>
        <w:rPr>
          <w:rFonts w:ascii="Times New Roman" w:hAnsi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definida</w:t>
      </w:r>
      <w:r>
        <w:rPr>
          <w:rFonts w:ascii="Times New Roman" w:hAnsi="Times New Roman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pelo</w:t>
      </w:r>
      <w:r>
        <w:rPr>
          <w:rFonts w:ascii="Times New Roman" w:hAnsi="Times New Roman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Estudo</w:t>
      </w:r>
      <w:r>
        <w:rPr>
          <w:rFonts w:ascii="Times New Roman" w:hAnsi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de</w:t>
      </w:r>
      <w:r>
        <w:rPr>
          <w:rFonts w:ascii="Times New Roman" w:hAnsi="Times New Roman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ALM</w:t>
      </w:r>
      <w:r>
        <w:rPr>
          <w:rFonts w:ascii="Times New Roman" w:hAnsi="Times New Roman"/>
          <w:spacing w:val="1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(Asset</w:t>
      </w:r>
      <w:r>
        <w:rPr>
          <w:rFonts w:ascii="Times New Roman" w:hAnsi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Liability</w:t>
      </w:r>
      <w:r>
        <w:rPr>
          <w:rFonts w:ascii="Times New Roman" w:hAnsi="Times New Roman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Management),</w:t>
      </w:r>
      <w:r>
        <w:rPr>
          <w:rFonts w:ascii="Times New Roman" w:hAnsi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apresentado</w:t>
      </w:r>
      <w:r>
        <w:rPr>
          <w:rFonts w:ascii="Times New Roman" w:hAnsi="Times New Roman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sinais</w:t>
      </w:r>
      <w:r>
        <w:rPr>
          <w:rFonts w:ascii="Times New Roman" w:hAnsi="Times New Roman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de</w:t>
      </w:r>
      <w:r>
        <w:rPr>
          <w:rFonts w:ascii="Times New Roman" w:hAnsi="Times New Roman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alerta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em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caso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de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desconformidade;</w:t>
      </w:r>
    </w:p>
    <w:p>
      <w:pPr>
        <w:pStyle w:val="Corpodotexto"/>
        <w:spacing w:lineRule="auto" w:line="276" w:before="4" w:after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ListParagraph"/>
        <w:widowControl/>
        <w:numPr>
          <w:ilvl w:val="0"/>
          <w:numId w:val="2"/>
        </w:numPr>
        <w:tabs>
          <w:tab w:val="clear" w:pos="720"/>
          <w:tab w:val="left" w:pos="641" w:leader="none"/>
        </w:tabs>
        <w:suppressAutoHyphens w:val="true"/>
        <w:bidi w:val="0"/>
        <w:spacing w:lineRule="auto" w:line="276" w:before="0" w:after="0"/>
        <w:ind w:left="624" w:right="0" w:hanging="397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Relatório de Rentabilidade diária (para todos os dias úteis que se tenha mercado financeiro funcionando) da carteira do RPPS,</w:t>
      </w:r>
      <w:r>
        <w:rPr>
          <w:rFonts w:ascii="Times New Roman" w:hAnsi="Times New Roman"/>
          <w:spacing w:val="-4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levando-se em conta a data de cada uma das aplicações e resgates efetuadas pelo RPPS, sendo que também deverá ser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fornecida a rentabilidade diária consolidada para cada um dos cinco segmentos de investimentos permitidos pela Resolução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CMN nº 4.963/21, a rentabilidade consolidada para cada um dos artigos da Resolução CMN nº 4.963/21 e, por fim, a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rentabilidade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diária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de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cada um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dos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fundos de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investimentos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que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 RPPS possui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os seus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recursos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alocados.</w:t>
      </w:r>
    </w:p>
    <w:p>
      <w:pPr>
        <w:pStyle w:val="Corpodotexto"/>
        <w:spacing w:lineRule="auto" w:line="276" w:before="3" w:after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ListParagraph"/>
        <w:widowControl/>
        <w:numPr>
          <w:ilvl w:val="0"/>
          <w:numId w:val="2"/>
        </w:numPr>
        <w:tabs>
          <w:tab w:val="clear" w:pos="720"/>
          <w:tab w:val="left" w:pos="641" w:leader="none"/>
        </w:tabs>
        <w:suppressAutoHyphens w:val="true"/>
        <w:bidi w:val="0"/>
        <w:spacing w:lineRule="auto" w:line="276" w:before="0" w:after="0"/>
        <w:ind w:left="624" w:right="0" w:hanging="397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Relatório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de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Evolução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do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Patrimônio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Líquido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(PL)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diária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(para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todos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os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dias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úteis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que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se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tenha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mercado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financeiro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funcionando)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do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RPPS, sendo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expressa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em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gráfico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diário de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evolução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do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PL;</w:t>
      </w:r>
    </w:p>
    <w:p>
      <w:pPr>
        <w:pStyle w:val="Corpodotexto"/>
        <w:spacing w:lineRule="auto" w:line="276" w:before="5" w:after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ListParagraph"/>
        <w:widowControl/>
        <w:numPr>
          <w:ilvl w:val="0"/>
          <w:numId w:val="2"/>
        </w:numPr>
        <w:tabs>
          <w:tab w:val="clear" w:pos="720"/>
          <w:tab w:val="left" w:pos="641" w:leader="none"/>
        </w:tabs>
        <w:suppressAutoHyphens w:val="true"/>
        <w:bidi w:val="0"/>
        <w:spacing w:lineRule="auto" w:line="276" w:before="0" w:after="0"/>
        <w:ind w:left="624" w:right="0" w:hanging="397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Relatório de Rentabilidade mensal da carteira de investimentos do RPPS e rentabilidade mensal da Meta de Rentabilidade da</w:t>
      </w:r>
      <w:r>
        <w:rPr>
          <w:rFonts w:ascii="Times New Roman" w:hAnsi="Times New Roman"/>
          <w:spacing w:val="-4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Política de Investimentos (também conhecida como “Meta Atuarial”), verificando-se mensalmente se o RPPS conseguiu ou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não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bater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 meta,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apresentando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os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resultados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dessas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mesmas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variáveis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para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consolidado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dos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meses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já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decorridos no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ano;</w:t>
      </w:r>
    </w:p>
    <w:p>
      <w:pPr>
        <w:pStyle w:val="Corpodotexto"/>
        <w:spacing w:lineRule="auto" w:line="276" w:before="4" w:after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ListParagraph"/>
        <w:widowControl/>
        <w:numPr>
          <w:ilvl w:val="0"/>
          <w:numId w:val="2"/>
        </w:numPr>
        <w:tabs>
          <w:tab w:val="clear" w:pos="720"/>
          <w:tab w:val="left" w:pos="641" w:leader="none"/>
        </w:tabs>
        <w:suppressAutoHyphens w:val="true"/>
        <w:bidi w:val="0"/>
        <w:spacing w:lineRule="auto" w:line="276" w:before="0" w:after="0"/>
        <w:ind w:left="624" w:right="0" w:hanging="397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Relatório com Gráfico que apresente a valorização da cota diária consolidada da carteira do RPPS, comparando-a com a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valorização da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cota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diária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consolidada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da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“Meta Atuarial”.</w:t>
      </w:r>
    </w:p>
    <w:p>
      <w:pPr>
        <w:pStyle w:val="Corpodotexto"/>
        <w:spacing w:lineRule="auto" w:line="276" w:before="5" w:after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640" w:leader="none"/>
          <w:tab w:val="left" w:pos="641" w:leader="none"/>
        </w:tabs>
        <w:spacing w:lineRule="auto" w:line="276" w:before="0" w:after="0"/>
        <w:ind w:left="640" w:right="0" w:hanging="421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Relatório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com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gráfico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que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apresente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evolução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do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PL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do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RPPS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diariamente,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desde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data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da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contratação;</w:t>
      </w:r>
    </w:p>
    <w:p>
      <w:pPr>
        <w:pStyle w:val="Corpodotexto"/>
        <w:spacing w:lineRule="auto" w:line="276" w:before="6" w:after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ListParagraph"/>
        <w:widowControl/>
        <w:numPr>
          <w:ilvl w:val="0"/>
          <w:numId w:val="2"/>
        </w:numPr>
        <w:tabs>
          <w:tab w:val="clear" w:pos="720"/>
          <w:tab w:val="left" w:pos="641" w:leader="none"/>
        </w:tabs>
        <w:suppressAutoHyphens w:val="true"/>
        <w:bidi w:val="0"/>
        <w:spacing w:lineRule="auto" w:line="276" w:before="0" w:after="0"/>
        <w:ind w:left="624" w:right="57" w:hanging="397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Relatório que contemple, para cada um dos fundos de investimentos, as seguintes informações: Saldo do mês anterior,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Aplicações (R$), Resgates (R$), Amortizações (R$), Proventos (R$), Saldo Atual (data do relatório), Resultado Financeiro no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mês (R$), Atribuição de desempenho (%) tendo em vista a rentabilidade total da carteira do RPPS e Resultado Financeiro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acumulado no ano corrente (R$). Apresentar ainda a atribuição de desempenho de rentabilidade consolidada por artigo e por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segmento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da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Resolução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CMN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nº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4.963/21.</w:t>
      </w:r>
    </w:p>
    <w:p>
      <w:pPr>
        <w:pStyle w:val="Corpodotexto"/>
        <w:spacing w:lineRule="auto" w:line="276" w:before="3" w:after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ListParagraph"/>
        <w:widowControl/>
        <w:numPr>
          <w:ilvl w:val="0"/>
          <w:numId w:val="2"/>
        </w:numPr>
        <w:tabs>
          <w:tab w:val="clear" w:pos="720"/>
          <w:tab w:val="left" w:pos="641" w:leader="none"/>
        </w:tabs>
        <w:suppressAutoHyphens w:val="true"/>
        <w:bidi w:val="0"/>
        <w:spacing w:lineRule="auto" w:line="276" w:before="0" w:after="0"/>
        <w:ind w:left="624" w:right="57" w:hanging="397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Relatório de análise de liquidez da carteira, mostrando qual o percentual da carteira do RPPS que pode ser liquidada em três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faixas</w:t>
      </w:r>
      <w:r>
        <w:rPr>
          <w:rFonts w:ascii="Times New Roman" w:hAnsi="Times New Roman"/>
          <w:spacing w:val="2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de</w:t>
      </w:r>
      <w:r>
        <w:rPr>
          <w:rFonts w:ascii="Times New Roman" w:hAnsi="Times New Roman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prazos:</w:t>
      </w:r>
      <w:r>
        <w:rPr>
          <w:rFonts w:ascii="Times New Roman" w:hAnsi="Times New Roman"/>
          <w:spacing w:val="2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(a)</w:t>
      </w:r>
      <w:r>
        <w:rPr>
          <w:rFonts w:ascii="Times New Roman" w:hAnsi="Times New Roman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de</w:t>
      </w:r>
      <w:r>
        <w:rPr>
          <w:rFonts w:ascii="Times New Roman" w:hAnsi="Times New Roman"/>
          <w:spacing w:val="2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pacing w:val="2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30</w:t>
      </w:r>
      <w:r>
        <w:rPr>
          <w:rFonts w:ascii="Times New Roman" w:hAnsi="Times New Roman"/>
          <w:spacing w:val="2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dias,</w:t>
      </w:r>
      <w:r>
        <w:rPr>
          <w:rFonts w:ascii="Times New Roman" w:hAnsi="Times New Roman"/>
          <w:spacing w:val="2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(b)</w:t>
      </w:r>
      <w:r>
        <w:rPr>
          <w:rFonts w:ascii="Times New Roman" w:hAnsi="Times New Roman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de</w:t>
      </w:r>
      <w:r>
        <w:rPr>
          <w:rFonts w:ascii="Times New Roman" w:hAnsi="Times New Roman"/>
          <w:spacing w:val="2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31</w:t>
      </w:r>
      <w:r>
        <w:rPr>
          <w:rFonts w:ascii="Times New Roman" w:hAnsi="Times New Roman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à</w:t>
      </w:r>
      <w:r>
        <w:rPr>
          <w:rFonts w:ascii="Times New Roman" w:hAnsi="Times New Roman"/>
          <w:spacing w:val="2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365</w:t>
      </w:r>
      <w:r>
        <w:rPr>
          <w:rFonts w:ascii="Times New Roman" w:hAnsi="Times New Roman"/>
          <w:spacing w:val="2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dias</w:t>
      </w:r>
      <w:r>
        <w:rPr>
          <w:rFonts w:ascii="Times New Roman" w:hAnsi="Times New Roman"/>
          <w:spacing w:val="2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pacing w:val="2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(c)</w:t>
      </w:r>
      <w:r>
        <w:rPr>
          <w:rFonts w:ascii="Times New Roman" w:hAnsi="Times New Roman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acima</w:t>
      </w:r>
      <w:r>
        <w:rPr>
          <w:rFonts w:ascii="Times New Roman" w:hAnsi="Times New Roman"/>
          <w:spacing w:val="2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de</w:t>
      </w:r>
      <w:r>
        <w:rPr>
          <w:rFonts w:ascii="Times New Roman" w:hAnsi="Times New Roman"/>
          <w:spacing w:val="2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365</w:t>
      </w:r>
      <w:r>
        <w:rPr>
          <w:rFonts w:ascii="Times New Roman" w:hAnsi="Times New Roman"/>
          <w:spacing w:val="2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dias;</w:t>
      </w:r>
      <w:r>
        <w:rPr>
          <w:rFonts w:ascii="Times New Roman" w:hAnsi="Times New Roman"/>
          <w:spacing w:val="2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Relatório</w:t>
      </w:r>
      <w:r>
        <w:rPr>
          <w:rFonts w:ascii="Times New Roman" w:hAnsi="Times New Roman"/>
          <w:spacing w:val="2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de</w:t>
      </w:r>
      <w:r>
        <w:rPr>
          <w:rFonts w:ascii="Times New Roman" w:hAnsi="Times New Roman"/>
          <w:spacing w:val="2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Alocação</w:t>
      </w:r>
      <w:r>
        <w:rPr>
          <w:rFonts w:ascii="Times New Roman" w:hAnsi="Times New Roman"/>
          <w:spacing w:val="2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dos</w:t>
      </w:r>
      <w:r>
        <w:rPr>
          <w:rFonts w:ascii="Times New Roman" w:hAnsi="Times New Roman"/>
          <w:spacing w:val="2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recursos consolidada</w:t>
      </w:r>
      <w:r>
        <w:rPr>
          <w:rFonts w:ascii="Times New Roman" w:hAnsi="Times New Roman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para</w:t>
      </w:r>
      <w:r>
        <w:rPr>
          <w:rFonts w:ascii="Times New Roman" w:hAnsi="Times New Roman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cada</w:t>
      </w:r>
      <w:r>
        <w:rPr>
          <w:rFonts w:ascii="Times New Roman" w:hAnsi="Times New Roman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gestor</w:t>
      </w:r>
      <w:r>
        <w:rPr>
          <w:rFonts w:ascii="Times New Roman" w:hAnsi="Times New Roman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dos</w:t>
      </w:r>
      <w:r>
        <w:rPr>
          <w:rFonts w:ascii="Times New Roman" w:hAnsi="Times New Roman"/>
          <w:spacing w:val="3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fundos</w:t>
      </w:r>
      <w:r>
        <w:rPr>
          <w:rFonts w:ascii="Times New Roman" w:hAnsi="Times New Roman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de</w:t>
      </w:r>
      <w:r>
        <w:rPr>
          <w:rFonts w:ascii="Times New Roman" w:hAnsi="Times New Roman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investimentos,</w:t>
      </w:r>
      <w:r>
        <w:rPr>
          <w:rFonts w:ascii="Times New Roman" w:hAnsi="Times New Roman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considerando</w:t>
      </w:r>
      <w:r>
        <w:rPr>
          <w:rFonts w:ascii="Times New Roman" w:hAnsi="Times New Roman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as</w:t>
      </w:r>
      <w:r>
        <w:rPr>
          <w:rFonts w:ascii="Times New Roman" w:hAnsi="Times New Roman"/>
          <w:spacing w:val="3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seguintes</w:t>
      </w:r>
      <w:r>
        <w:rPr>
          <w:rFonts w:ascii="Times New Roman" w:hAnsi="Times New Roman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informações:</w:t>
      </w:r>
      <w:r>
        <w:rPr>
          <w:rFonts w:ascii="Times New Roman" w:hAnsi="Times New Roman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saldo</w:t>
      </w:r>
      <w:r>
        <w:rPr>
          <w:rFonts w:ascii="Times New Roman" w:hAnsi="Times New Roman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anterior</w:t>
      </w:r>
      <w:r>
        <w:rPr>
          <w:rFonts w:ascii="Times New Roman" w:hAnsi="Times New Roman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(R$),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Aplicações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(R$),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Resgates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(R$),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Amortização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(R$), Saldo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Atual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(R$)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Resultado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Financeiro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no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Mês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(R$);</w:t>
      </w:r>
    </w:p>
    <w:p>
      <w:pPr>
        <w:pStyle w:val="Corpodotexto"/>
        <w:spacing w:lineRule="auto" w:line="276" w:before="5" w:after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ListParagraph"/>
        <w:widowControl/>
        <w:numPr>
          <w:ilvl w:val="0"/>
          <w:numId w:val="2"/>
        </w:numPr>
        <w:tabs>
          <w:tab w:val="clear" w:pos="720"/>
          <w:tab w:val="left" w:pos="641" w:leader="none"/>
        </w:tabs>
        <w:suppressAutoHyphens w:val="true"/>
        <w:bidi w:val="0"/>
        <w:spacing w:lineRule="auto" w:line="276" w:before="0" w:after="0"/>
        <w:ind w:left="624" w:right="0" w:hanging="397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Relatório que apresente a performance de rentabilidade de cada um dos fundos de investimentos e de seu respectivo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benchmark</w:t>
      </w:r>
      <w:r>
        <w:rPr>
          <w:rFonts w:ascii="Times New Roman" w:hAnsi="Times New Roman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estipulado</w:t>
      </w:r>
      <w:r>
        <w:rPr>
          <w:rFonts w:ascii="Times New Roman" w:hAnsi="Times New Roman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no</w:t>
      </w:r>
      <w:r>
        <w:rPr>
          <w:rFonts w:ascii="Times New Roman" w:hAnsi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regulamento</w:t>
      </w:r>
      <w:r>
        <w:rPr>
          <w:rFonts w:ascii="Times New Roman" w:hAnsi="Times New Roman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do</w:t>
      </w:r>
      <w:r>
        <w:rPr>
          <w:rFonts w:ascii="Times New Roman" w:hAnsi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fundo.</w:t>
      </w:r>
      <w:r>
        <w:rPr>
          <w:rFonts w:ascii="Times New Roman" w:hAnsi="Times New Roman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Relatório</w:t>
      </w:r>
      <w:r>
        <w:rPr>
          <w:rFonts w:ascii="Times New Roman" w:hAnsi="Times New Roman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que</w:t>
      </w:r>
      <w:r>
        <w:rPr>
          <w:rFonts w:ascii="Times New Roman" w:hAnsi="Times New Roman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apresente</w:t>
      </w:r>
      <w:r>
        <w:rPr>
          <w:rFonts w:ascii="Times New Roman" w:hAnsi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para</w:t>
      </w:r>
      <w:r>
        <w:rPr>
          <w:rFonts w:ascii="Times New Roman" w:hAnsi="Times New Roman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cada</w:t>
      </w:r>
      <w:r>
        <w:rPr>
          <w:rFonts w:ascii="Times New Roman" w:hAnsi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um</w:t>
      </w:r>
      <w:r>
        <w:rPr>
          <w:rFonts w:ascii="Times New Roman" w:hAnsi="Times New Roman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dos</w:t>
      </w:r>
      <w:r>
        <w:rPr>
          <w:rFonts w:ascii="Times New Roman" w:hAnsi="Times New Roman"/>
          <w:spacing w:val="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fundos</w:t>
      </w:r>
      <w:r>
        <w:rPr>
          <w:rFonts w:ascii="Times New Roman" w:hAnsi="Times New Roman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de</w:t>
      </w:r>
      <w:r>
        <w:rPr>
          <w:rFonts w:ascii="Times New Roman" w:hAnsi="Times New Roman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investimentos:</w:t>
      </w:r>
      <w:r>
        <w:rPr>
          <w:rFonts w:ascii="Times New Roman" w:hAnsi="Times New Roman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nome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do fundo, CNPJ do fundo, Prazo de Cotização da Aplicação, Prazo da Liquidação da Aplicação, Prazo de Cotização do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Resgate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Prazo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da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Liquidação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do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Resgate;</w:t>
      </w:r>
    </w:p>
    <w:p>
      <w:pPr>
        <w:pStyle w:val="Corpodotexto"/>
        <w:spacing w:lineRule="auto" w:line="276" w:before="4" w:after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ListParagraph"/>
        <w:widowControl/>
        <w:numPr>
          <w:ilvl w:val="0"/>
          <w:numId w:val="2"/>
        </w:numPr>
        <w:tabs>
          <w:tab w:val="clear" w:pos="720"/>
          <w:tab w:val="left" w:pos="641" w:leader="none"/>
        </w:tabs>
        <w:suppressAutoHyphens w:val="true"/>
        <w:bidi w:val="0"/>
        <w:spacing w:lineRule="auto" w:line="276" w:before="0" w:after="0"/>
        <w:ind w:left="624" w:right="0" w:hanging="397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Relatório que disponibilize para cada um dos fundos de investimentos, os resultados dos principais indicadores utilizados no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mercado: Rentabilidade, Volatilidade, VaR (Value at Risk), B-VaR (Benchmark VaR), Índice de Sharpe, Máximo Draw-Down,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Tracking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Error,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Alfa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de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Jansen, Beta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(CAPM)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Índice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de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Treynor.</w:t>
      </w:r>
    </w:p>
    <w:p>
      <w:pPr>
        <w:pStyle w:val="Corpodotexto"/>
        <w:spacing w:lineRule="auto" w:line="276" w:before="4" w:after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ListParagraph"/>
        <w:widowControl/>
        <w:numPr>
          <w:ilvl w:val="0"/>
          <w:numId w:val="2"/>
        </w:numPr>
        <w:tabs>
          <w:tab w:val="clear" w:pos="720"/>
          <w:tab w:val="left" w:pos="641" w:leader="none"/>
        </w:tabs>
        <w:suppressAutoHyphens w:val="true"/>
        <w:bidi w:val="0"/>
        <w:spacing w:lineRule="auto" w:line="276" w:before="0" w:after="0"/>
        <w:ind w:left="624" w:right="0" w:hanging="397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Relatório</w:t>
      </w:r>
      <w:r>
        <w:rPr>
          <w:rFonts w:ascii="Times New Roman" w:hAnsi="Times New Roman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de</w:t>
      </w:r>
      <w:r>
        <w:rPr>
          <w:rFonts w:ascii="Times New Roman" w:hAnsi="Times New Roman"/>
          <w:spacing w:val="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lâmina</w:t>
      </w:r>
      <w:r>
        <w:rPr>
          <w:rFonts w:ascii="Times New Roman" w:hAnsi="Times New Roman"/>
          <w:spacing w:val="1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de</w:t>
      </w:r>
      <w:r>
        <w:rPr>
          <w:rFonts w:ascii="Times New Roman" w:hAnsi="Times New Roman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cada</w:t>
      </w:r>
      <w:r>
        <w:rPr>
          <w:rFonts w:ascii="Times New Roman" w:hAnsi="Times New Roman"/>
          <w:spacing w:val="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um</w:t>
      </w:r>
      <w:r>
        <w:rPr>
          <w:rFonts w:ascii="Times New Roman" w:hAnsi="Times New Roman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dos</w:t>
      </w:r>
      <w:r>
        <w:rPr>
          <w:rFonts w:ascii="Times New Roman" w:hAnsi="Times New Roman"/>
          <w:spacing w:val="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fundos</w:t>
      </w:r>
      <w:r>
        <w:rPr>
          <w:rFonts w:ascii="Times New Roman" w:hAnsi="Times New Roman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de</w:t>
      </w:r>
      <w:r>
        <w:rPr>
          <w:rFonts w:ascii="Times New Roman" w:hAnsi="Times New Roman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investimentos</w:t>
      </w:r>
      <w:r>
        <w:rPr>
          <w:rFonts w:ascii="Times New Roman" w:hAnsi="Times New Roman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que</w:t>
      </w:r>
      <w:r>
        <w:rPr>
          <w:rFonts w:ascii="Times New Roman" w:hAnsi="Times New Roman"/>
          <w:spacing w:val="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RPPS</w:t>
      </w:r>
      <w:r>
        <w:rPr>
          <w:rFonts w:ascii="Times New Roman" w:hAnsi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possui</w:t>
      </w:r>
      <w:r>
        <w:rPr>
          <w:rFonts w:ascii="Times New Roman" w:hAnsi="Times New Roman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os</w:t>
      </w:r>
      <w:r>
        <w:rPr>
          <w:rFonts w:ascii="Times New Roman" w:hAnsi="Times New Roman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seus</w:t>
      </w:r>
      <w:r>
        <w:rPr>
          <w:rFonts w:ascii="Times New Roman" w:hAnsi="Times New Roman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recursos</w:t>
      </w:r>
      <w:r>
        <w:rPr>
          <w:rFonts w:ascii="Times New Roman" w:hAnsi="Times New Roman"/>
          <w:spacing w:val="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alocados,</w:t>
      </w:r>
      <w:r>
        <w:rPr>
          <w:rFonts w:ascii="Times New Roman" w:hAnsi="Times New Roman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apresentando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as</w:t>
      </w:r>
      <w:r>
        <w:rPr>
          <w:rFonts w:ascii="Times New Roman" w:hAnsi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informações</w:t>
      </w:r>
      <w:r>
        <w:rPr>
          <w:rFonts w:ascii="Times New Roman" w:hAnsi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disponíveis</w:t>
      </w:r>
      <w:r>
        <w:rPr>
          <w:rFonts w:ascii="Times New Roman" w:hAnsi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pela</w:t>
      </w:r>
      <w:r>
        <w:rPr>
          <w:rFonts w:ascii="Times New Roman" w:hAnsi="Times New Roman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CVM,</w:t>
      </w:r>
      <w:r>
        <w:rPr>
          <w:rFonts w:ascii="Times New Roman" w:hAnsi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tais</w:t>
      </w:r>
      <w:r>
        <w:rPr>
          <w:rFonts w:ascii="Times New Roman" w:hAnsi="Times New Roman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como:</w:t>
      </w:r>
      <w:r>
        <w:rPr>
          <w:rFonts w:ascii="Times New Roman" w:hAnsi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denominação</w:t>
      </w:r>
      <w:r>
        <w:rPr>
          <w:rFonts w:ascii="Times New Roman" w:hAnsi="Times New Roman"/>
          <w:spacing w:val="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social,</w:t>
      </w:r>
      <w:r>
        <w:rPr>
          <w:rFonts w:ascii="Times New Roman" w:hAnsi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classe</w:t>
      </w:r>
      <w:r>
        <w:rPr>
          <w:rFonts w:ascii="Times New Roman" w:hAnsi="Times New Roman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CVM,</w:t>
      </w:r>
      <w:r>
        <w:rPr>
          <w:rFonts w:ascii="Times New Roman" w:hAnsi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CNPJ</w:t>
      </w:r>
      <w:r>
        <w:rPr>
          <w:rFonts w:ascii="Times New Roman" w:hAnsi="Times New Roman"/>
          <w:spacing w:val="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do</w:t>
      </w:r>
      <w:r>
        <w:rPr>
          <w:rFonts w:ascii="Times New Roman" w:hAnsi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Fundo,</w:t>
      </w:r>
      <w:r>
        <w:rPr>
          <w:rFonts w:ascii="Times New Roman" w:hAnsi="Times New Roman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nome</w:t>
      </w:r>
      <w:r>
        <w:rPr>
          <w:rFonts w:ascii="Times New Roman" w:hAnsi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do</w:t>
      </w:r>
      <w:r>
        <w:rPr>
          <w:rFonts w:ascii="Times New Roman" w:hAnsi="Times New Roman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administrador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 seu respectivo CNPJ, nome do gestor e seu respectivo CNPJ, se é fundo de cotas, se é fundo exclusivo, se possui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tributação de longo prazo, se é destinado a investidores qualificados, Prazo de Cotização da Aplicação, Prazo de Liquidação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da Aplicação, Prazo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de Cotização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do Resgate, Prazo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de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Liquidação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do Resgate, percentual da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taxa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de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performance,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percentual da taxa de administração, Artigo da Resolução CMN nº 4.963/21, Se o fundo está enquadrado ou não perante a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Resolução CMN nº 4.963/21 e número de cotistas do fundo. A lâmina deve ainda apresentar, além da rentabilidade mensal do</w:t>
      </w:r>
      <w:r>
        <w:rPr>
          <w:rFonts w:ascii="Times New Roman" w:hAnsi="Times New Roman"/>
          <w:spacing w:val="-4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fundo comparada com o seu respectivo benchmark (parâmetro de referência) desde o primeiro dia de existência de cota do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fundo até os dias atuais de análise do relatório. Deverá ainda apresentar quantos meses o fundo conseguiu superar o seu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benchmark e quantos meses o fundo não conseguiu superar o seu benchmark, apresentando, por fim, um gráfico com a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evolução da rentabilidade diária do fundo de investimento vis a vis seu benchmark, consolidando desde a data da primeira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cota do fundo, sendo que o sistema deverá propiciar a escolha de vários benchmarks distintos que não seja apenas o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benchmark do fundo, tais como a própria “Meta Atuarial” do RPPS, ou os demais parâmetros de mercado do segmento de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renda fixa (Selic, CDI e benchmarks da Anbima), do segmento de renda variável (Ibovespa, IBrX 100, IBrX 50, SMLL e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Dividendos)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do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segmento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de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investimentos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no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exterior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(MSCI AC, S&amp;P500).</w:t>
      </w:r>
    </w:p>
    <w:p>
      <w:pPr>
        <w:pStyle w:val="Corpodotexto"/>
        <w:spacing w:lineRule="auto" w:line="276" w:before="5" w:after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ListParagraph"/>
        <w:widowControl/>
        <w:numPr>
          <w:ilvl w:val="0"/>
          <w:numId w:val="2"/>
        </w:numPr>
        <w:tabs>
          <w:tab w:val="clear" w:pos="720"/>
          <w:tab w:val="left" w:pos="641" w:leader="none"/>
        </w:tabs>
        <w:suppressAutoHyphens w:val="true"/>
        <w:bidi w:val="0"/>
        <w:spacing w:lineRule="auto" w:line="276" w:before="0" w:after="0"/>
        <w:ind w:left="624" w:right="0" w:hanging="397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Relatório de movimentações realizadas pelo RPPS contendo: número da APR, data da APR, Nome do Fundo de Investimento,</w:t>
      </w:r>
      <w:r>
        <w:rPr>
          <w:rFonts w:ascii="Times New Roman" w:hAnsi="Times New Roman"/>
          <w:spacing w:val="-4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valor da aplicação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(R$),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valor do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resgate (R$), quantidade de cotas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 valor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da cota,</w:t>
      </w:r>
      <w:r>
        <w:rPr>
          <w:rFonts w:ascii="Times New Roman" w:hAnsi="Times New Roman"/>
          <w:spacing w:val="5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sendo disponibilizadas cada</w:t>
      </w:r>
      <w:r>
        <w:rPr>
          <w:rFonts w:ascii="Times New Roman" w:hAnsi="Times New Roman"/>
          <w:spacing w:val="5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uma das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APR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para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poder fazer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edição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em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arquivo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word;</w:t>
      </w:r>
    </w:p>
    <w:p>
      <w:pPr>
        <w:pStyle w:val="Corpodotexto"/>
        <w:spacing w:lineRule="auto" w:line="276" w:before="4" w:after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ListParagraph"/>
        <w:widowControl/>
        <w:numPr>
          <w:ilvl w:val="0"/>
          <w:numId w:val="2"/>
        </w:numPr>
        <w:tabs>
          <w:tab w:val="clear" w:pos="720"/>
          <w:tab w:val="left" w:pos="641" w:leader="none"/>
        </w:tabs>
        <w:suppressAutoHyphens w:val="true"/>
        <w:bidi w:val="0"/>
        <w:spacing w:lineRule="auto" w:line="276" w:before="0" w:after="0"/>
        <w:ind w:left="624" w:right="0" w:hanging="397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Relatório de Análise de Risco x Retorno para os fundos de investimentos, através do consagrado Gráfico de Dispersão, para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qualquer período de análise (dia, mês, ano, 3 meses, 6 meses, 12 meses, 24 meses, 36 meses, 48 meses e 60 meses), para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qualquer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estratégia: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carteira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consolidada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do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RPPS,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cada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um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dos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artigos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da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Resolução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CMN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nº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4.963/21.</w:t>
      </w:r>
    </w:p>
    <w:p>
      <w:pPr>
        <w:pStyle w:val="Corpodotexto"/>
        <w:spacing w:lineRule="auto" w:line="276" w:before="5" w:after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ListParagraph"/>
        <w:widowControl/>
        <w:numPr>
          <w:ilvl w:val="0"/>
          <w:numId w:val="2"/>
        </w:numPr>
        <w:tabs>
          <w:tab w:val="clear" w:pos="720"/>
          <w:tab w:val="left" w:pos="641" w:leader="none"/>
        </w:tabs>
        <w:suppressAutoHyphens w:val="true"/>
        <w:bidi w:val="0"/>
        <w:spacing w:lineRule="auto" w:line="276" w:before="0" w:after="0"/>
        <w:ind w:left="624" w:right="0" w:hanging="397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Relatório que apresente o valor do Value at Risk (VaR) diário da carteira de investimentos do RPPS, apresentando o VaR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consolidado para cada um dos segmentos da Resolução CMN nº 4.963/21, o VaR consolidado para cada artigo da referida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Resolução e o VaR de cada um dos fundos de investimentos. Ainda deverá apresentar a contribuição em relação ao VaR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(CVaR) para cada um dos fundos de investimentos, para cada artigo da Resolução CMN nº 4.963/21 e para cada um dos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cinco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segmentos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da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Resolução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CMN nº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4.963/21;</w:t>
      </w:r>
    </w:p>
    <w:p>
      <w:pPr>
        <w:pStyle w:val="Corpodotexto"/>
        <w:spacing w:lineRule="auto" w:line="276" w:before="5" w:after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ListParagraph"/>
        <w:widowControl/>
        <w:numPr>
          <w:ilvl w:val="0"/>
          <w:numId w:val="2"/>
        </w:numPr>
        <w:tabs>
          <w:tab w:val="clear" w:pos="720"/>
          <w:tab w:val="left" w:pos="641" w:leader="none"/>
        </w:tabs>
        <w:suppressAutoHyphens w:val="true"/>
        <w:bidi w:val="0"/>
        <w:spacing w:lineRule="auto" w:line="276" w:before="0" w:after="0"/>
        <w:ind w:left="624" w:right="0" w:hanging="397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Relatório da Análise de Stress Histórico, para determinada data inicial e data final escolhida, apresentando para cada um dos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fundos de investimentos que compõe a carteira do RPPS, os respectivos valores de Perda (em R$ e em %) e de Ganho (em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R$ e em %), apresentando a consolidação não só por artigo como também por segmento da Resolução CMN nº 3.922/10, e,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ainda,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para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carteira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consolidada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do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RPPS;</w:t>
      </w:r>
    </w:p>
    <w:p>
      <w:pPr>
        <w:pStyle w:val="Corpodotexto"/>
        <w:spacing w:lineRule="auto" w:line="276" w:before="4" w:after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ListParagraph"/>
        <w:widowControl/>
        <w:numPr>
          <w:ilvl w:val="0"/>
          <w:numId w:val="2"/>
        </w:numPr>
        <w:tabs>
          <w:tab w:val="clear" w:pos="720"/>
          <w:tab w:val="left" w:pos="641" w:leader="none"/>
        </w:tabs>
        <w:suppressAutoHyphens w:val="true"/>
        <w:bidi w:val="0"/>
        <w:spacing w:lineRule="auto" w:line="276" w:before="0" w:after="0"/>
        <w:ind w:left="624" w:right="0" w:hanging="397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Relatório de rentabilidade dos principais indicadores de desempenho do mercado para os segmentos de renda fixa, renda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variável e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investimentos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no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exterior;</w:t>
      </w:r>
    </w:p>
    <w:p>
      <w:pPr>
        <w:pStyle w:val="Corpodotexto"/>
        <w:spacing w:lineRule="auto" w:line="276" w:before="5" w:after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ListParagraph"/>
        <w:widowControl/>
        <w:numPr>
          <w:ilvl w:val="0"/>
          <w:numId w:val="2"/>
        </w:numPr>
        <w:tabs>
          <w:tab w:val="clear" w:pos="720"/>
          <w:tab w:val="left" w:pos="641" w:leader="none"/>
        </w:tabs>
        <w:suppressAutoHyphens w:val="true"/>
        <w:bidi w:val="0"/>
        <w:spacing w:lineRule="auto" w:line="276" w:before="0" w:after="0"/>
        <w:ind w:left="624" w:right="0" w:hanging="397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Relatório de volatilidade dos principais indicadores de desempenho do mercado para os cinco segmentos da Resolução CMN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nº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4.963/21;</w:t>
      </w:r>
    </w:p>
    <w:p>
      <w:pPr>
        <w:pStyle w:val="Corpodotexto"/>
        <w:spacing w:lineRule="auto" w:line="276" w:before="5" w:after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ListParagraph"/>
        <w:widowControl/>
        <w:numPr>
          <w:ilvl w:val="0"/>
          <w:numId w:val="2"/>
        </w:numPr>
        <w:tabs>
          <w:tab w:val="clear" w:pos="720"/>
          <w:tab w:val="left" w:pos="641" w:leader="none"/>
        </w:tabs>
        <w:suppressAutoHyphens w:val="true"/>
        <w:bidi w:val="0"/>
        <w:spacing w:lineRule="auto" w:line="276" w:before="0" w:after="0"/>
        <w:ind w:left="624" w:right="0" w:hanging="397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Relatório de VaR (Value at Risk) dos principais indicadores de desempenho do mercado para os segmentos da Resolução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CMN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nº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4.963/21;</w:t>
      </w:r>
    </w:p>
    <w:p>
      <w:pPr>
        <w:pStyle w:val="Corpodotexto"/>
        <w:spacing w:lineRule="auto" w:line="276" w:before="5" w:after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ListParagraph"/>
        <w:widowControl/>
        <w:numPr>
          <w:ilvl w:val="0"/>
          <w:numId w:val="2"/>
        </w:numPr>
        <w:tabs>
          <w:tab w:val="clear" w:pos="720"/>
          <w:tab w:val="left" w:pos="641" w:leader="none"/>
        </w:tabs>
        <w:suppressAutoHyphens w:val="true"/>
        <w:bidi w:val="0"/>
        <w:spacing w:lineRule="auto" w:line="276" w:before="0" w:after="0"/>
        <w:ind w:left="624" w:right="0" w:hanging="397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Relatório</w:t>
      </w:r>
      <w:r>
        <w:rPr>
          <w:rFonts w:ascii="Times New Roman" w:hAnsi="Times New Roman"/>
          <w:spacing w:val="2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customizado</w:t>
      </w:r>
      <w:r>
        <w:rPr>
          <w:rFonts w:ascii="Times New Roman" w:hAnsi="Times New Roman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que</w:t>
      </w:r>
      <w:r>
        <w:rPr>
          <w:rFonts w:ascii="Times New Roman" w:hAnsi="Times New Roman"/>
          <w:spacing w:val="2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contemple</w:t>
      </w:r>
      <w:r>
        <w:rPr>
          <w:rFonts w:ascii="Times New Roman" w:hAnsi="Times New Roman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escolha</w:t>
      </w:r>
      <w:r>
        <w:rPr>
          <w:rFonts w:ascii="Times New Roman" w:hAnsi="Times New Roman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de</w:t>
      </w:r>
      <w:r>
        <w:rPr>
          <w:rFonts w:ascii="Times New Roman" w:hAnsi="Times New Roman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qualquer</w:t>
      </w:r>
      <w:r>
        <w:rPr>
          <w:rFonts w:ascii="Times New Roman" w:hAnsi="Times New Roman"/>
          <w:spacing w:val="2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fundo</w:t>
      </w:r>
      <w:r>
        <w:rPr>
          <w:rFonts w:ascii="Times New Roman" w:hAnsi="Times New Roman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de</w:t>
      </w:r>
      <w:r>
        <w:rPr>
          <w:rFonts w:ascii="Times New Roman" w:hAnsi="Times New Roman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investimento</w:t>
      </w:r>
      <w:r>
        <w:rPr>
          <w:rFonts w:ascii="Times New Roman" w:hAnsi="Times New Roman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que</w:t>
      </w:r>
      <w:r>
        <w:rPr>
          <w:rFonts w:ascii="Times New Roman" w:hAnsi="Times New Roman"/>
          <w:spacing w:val="2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seja</w:t>
      </w:r>
      <w:r>
        <w:rPr>
          <w:rFonts w:ascii="Times New Roman" w:hAnsi="Times New Roman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enquadrado</w:t>
      </w:r>
      <w:r>
        <w:rPr>
          <w:rFonts w:ascii="Times New Roman" w:hAnsi="Times New Roman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para</w:t>
      </w:r>
      <w:r>
        <w:rPr>
          <w:rFonts w:ascii="Times New Roman" w:hAnsi="Times New Roman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os</w:t>
      </w:r>
      <w:r>
        <w:rPr>
          <w:rFonts w:ascii="Times New Roman" w:hAnsi="Times New Roman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RPPS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(tendo em vista a lista de fundos da Secretaria de Previdência), podendo-se escolher uma data inicial e uma data final para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obtenção das seguintes informações: denominação social do fundo de investimento, classe CVM, CNPJ do Fundo, nome do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administrador e seu respectivo CNPJ, nome do gestor e seu respectivo CNPJ, se é fundo de cotas, se é fundo exclusivo, se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possui tributação de longo prazo, se é destinado a investidores qualificados, Prazo de Cotização da Aplicação, Prazo de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Liquidação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da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Aplicação,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Prazo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de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Cotização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do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Resgate,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Prazo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de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Liquidação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do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Resgate,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percentual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da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taxa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de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performance, percentual da taxa de administração, Artigo da Resolução CMN</w:t>
      </w:r>
      <w:r>
        <w:rPr>
          <w:rFonts w:ascii="Times New Roman" w:hAnsi="Times New Roman"/>
          <w:spacing w:val="5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nº 4.963/21, Se o fundo está enquadrado ou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não perante a Resolução CMN nº 4.963/21. Apresentar ainda mais algumas informações: patrimônio do fundo na data inicial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escolhida, patrimônio do fundo na data final escolhida, número de cotistas, rentabilidade no período, Índice de Sharpe,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Volatilidade,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VaR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(Value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at Risk)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 B-VaR (Benchmark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VaR).</w:t>
      </w:r>
    </w:p>
    <w:p>
      <w:pPr>
        <w:pStyle w:val="ListParagraph"/>
        <w:widowControl/>
        <w:numPr>
          <w:ilvl w:val="0"/>
          <w:numId w:val="2"/>
        </w:numPr>
        <w:tabs>
          <w:tab w:val="clear" w:pos="720"/>
          <w:tab w:val="left" w:pos="641" w:leader="none"/>
        </w:tabs>
        <w:suppressAutoHyphens w:val="true"/>
        <w:bidi w:val="0"/>
        <w:spacing w:lineRule="auto" w:line="276" w:before="94" w:after="0"/>
        <w:ind w:left="624" w:right="0" w:hanging="397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Fornecer, para todo último dia útil de fechamento do mês, um relatório gerencial com as informações necessárias para o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preenchimento do DAIR WEB, que contenha no mínimo as seguintes informações: estratégia (qual é o artigo da Resolução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CMN nº 4.963/21), nome do fundo de investimento e respectivo CNPJ, quantidade de cotas, valor financeiro investido em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Reais,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valor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da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cota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ou preço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unitário do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ativo e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patrimônio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líquido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do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fundo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de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investimento;</w:t>
      </w:r>
    </w:p>
    <w:p>
      <w:pPr>
        <w:pStyle w:val="Corpodotexto"/>
        <w:spacing w:lineRule="auto" w:line="276" w:before="4" w:after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640" w:leader="none"/>
          <w:tab w:val="left" w:pos="641" w:leader="none"/>
        </w:tabs>
        <w:spacing w:lineRule="auto" w:line="276" w:before="0" w:after="0"/>
        <w:ind w:left="640" w:right="0" w:hanging="421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Ferramenta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de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auxílio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no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preenchimento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do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Formulário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APR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(Autorização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de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Aplicação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Resgate);</w:t>
      </w:r>
    </w:p>
    <w:p>
      <w:pPr>
        <w:pStyle w:val="Corpodotexto"/>
        <w:spacing w:lineRule="auto" w:line="276" w:before="5" w:after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Corpodotexto"/>
        <w:widowControl/>
        <w:suppressAutoHyphens w:val="true"/>
        <w:bidi w:val="0"/>
        <w:spacing w:lineRule="auto" w:line="276" w:before="1" w:after="0"/>
        <w:ind w:left="227" w:right="0" w:hanging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• </w:t>
      </w:r>
      <w:r>
        <w:rPr>
          <w:sz w:val="24"/>
          <w:szCs w:val="24"/>
        </w:rPr>
        <w:t>Elaboração do Estudo de Asset Liability Management (ALM) Determinístico, incluindo, de um lado, a macroalocação através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construção da Fronteira Eficiente de Markowitz e, de outro, a modelagem de Cash Flow Matching para a determinação 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vértices de títulos públicos federais para serem adquiridos e proteger o Passivo do RPPS, em consonância, de um lado, com 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ditames da Portaria MTP nº 1.467/22, artigos 141 à 146 e seu respectivo Anexo VIII, artigos 2º à 7º, e de outro, com a Resolução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CMN 4.963/21 e alterações posteriores, e com as normas da Secretaria de Previdência, principalmente o estabelecido no Manual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do Pró Gestão versão 3.4, item 3.2.6, devidamente aprovado nas Reuniões da Comissão de Credenciamento e Avaliação do Pró-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Gestão RPPS, realizadas nos dias 06/12/2022 e 12/12/2022 e autorizada sua divulgação pela Portaria SPREV nº 4.248, de 22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dezembro de 2022, publicada no DOU do dia 23/12/2022, com vigência a partir de 02 de janeiro de 2023. Deve-se ressaltar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 o Estudo de ALM não é o Estudo de Solvência, uma vez que compreende não só a Fronteira Eficiente de Markowitz, como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também a modelagem de Cash Flow Matching. Deve-se ainda, atender o item 3.2.6 – Política de Investimentos do Manual do Pró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Gestão Versão 3.4, que estipula para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ALM a utilização de metodologia que demonstre a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compatibilidade do passivo com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ativo, principalmente do ALM, para os RPPS com mais de 50 milhões de reais aplicados no mercado financeiro, e, ainda,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utilização de metodologia que demonstre a compatibilidade do passivo com o ativo e a moderna teoria de diversificação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carteira, principalmente do ALM, para elaboração do diagnóstico da carteira de investimentos atual do RPPS e proposta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revisão.</w:t>
      </w:r>
    </w:p>
    <w:p>
      <w:pPr>
        <w:pStyle w:val="Corpodotexto"/>
        <w:widowControl/>
        <w:suppressAutoHyphens w:val="true"/>
        <w:bidi w:val="0"/>
        <w:spacing w:lineRule="auto" w:line="276" w:before="1" w:after="0"/>
        <w:ind w:left="227" w:right="0" w:hanging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Corpodotexto"/>
        <w:widowControl/>
        <w:suppressAutoHyphens w:val="true"/>
        <w:bidi w:val="0"/>
        <w:spacing w:lineRule="auto" w:line="276" w:before="0" w:after="140"/>
        <w:ind w:left="227" w:right="0" w:hanging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• </w:t>
      </w:r>
      <w:r>
        <w:rPr>
          <w:sz w:val="24"/>
          <w:szCs w:val="24"/>
        </w:rPr>
        <w:t>O prazo máximo para a execução do objeto desta contratação e que admite prorrogação nas condições e hipóteses previstas 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Lei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14.133/21, está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abaixo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indicado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será considerado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 assinatura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equivalente:</w:t>
      </w:r>
    </w:p>
    <w:p>
      <w:pPr>
        <w:pStyle w:val="ListParagraph"/>
        <w:tabs>
          <w:tab w:val="clear" w:pos="720"/>
          <w:tab w:val="left" w:pos="640" w:leader="none"/>
          <w:tab w:val="left" w:pos="641" w:leader="none"/>
        </w:tabs>
        <w:spacing w:lineRule="auto" w:line="276" w:before="160" w:after="0"/>
        <w:ind w:left="219" w:right="0" w:hanging="0"/>
        <w:contextualSpacing w:val="false"/>
        <w:jc w:val="both"/>
        <w:rPr/>
      </w:pPr>
      <w:r>
        <w:rPr>
          <w:rFonts w:eastAsia="Verdana" w:cs="Times New Roman" w:ascii="Times New Roman" w:hAnsi="Times New Roman"/>
          <w:bCs/>
          <w:iCs/>
          <w:color w:val="000000"/>
          <w:sz w:val="24"/>
          <w:szCs w:val="24"/>
          <w:lang w:val="pt-BR" w:eastAsia="zh-CN" w:bidi="ar-SA"/>
        </w:rPr>
        <w:t>Início:</w:t>
      </w:r>
      <w:r>
        <w:rPr>
          <w:rFonts w:eastAsia="Verdana" w:cs="Times New Roman" w:ascii="Times New Roman" w:hAnsi="Times New Roman"/>
          <w:bCs/>
          <w:iCs/>
          <w:color w:val="000000"/>
          <w:spacing w:val="-4"/>
          <w:sz w:val="24"/>
          <w:szCs w:val="24"/>
          <w:lang w:val="pt-BR" w:eastAsia="zh-CN" w:bidi="ar-SA"/>
        </w:rPr>
        <w:t xml:space="preserve"> </w:t>
      </w:r>
      <w:r>
        <w:rPr>
          <w:rFonts w:eastAsia="Verdana" w:cs="Times New Roman" w:ascii="Times New Roman" w:hAnsi="Times New Roman"/>
          <w:bCs/>
          <w:iCs/>
          <w:color w:val="000000"/>
          <w:sz w:val="24"/>
          <w:szCs w:val="24"/>
          <w:lang w:val="pt-BR" w:eastAsia="zh-CN" w:bidi="ar-SA"/>
        </w:rPr>
        <w:t>3</w:t>
      </w:r>
      <w:r>
        <w:rPr>
          <w:rFonts w:eastAsia="Verdana" w:cs="Times New Roman" w:ascii="Times New Roman" w:hAnsi="Times New Roman"/>
          <w:bCs/>
          <w:iCs/>
          <w:color w:val="000000"/>
          <w:spacing w:val="-1"/>
          <w:sz w:val="24"/>
          <w:szCs w:val="24"/>
          <w:lang w:val="pt-BR" w:eastAsia="zh-CN" w:bidi="ar-SA"/>
        </w:rPr>
        <w:t xml:space="preserve"> </w:t>
      </w:r>
      <w:r>
        <w:rPr>
          <w:rFonts w:eastAsia="Verdana" w:cs="Times New Roman" w:ascii="Times New Roman" w:hAnsi="Times New Roman"/>
          <w:bCs/>
          <w:iCs/>
          <w:color w:val="000000"/>
          <w:sz w:val="24"/>
          <w:szCs w:val="24"/>
          <w:lang w:val="pt-BR" w:eastAsia="zh-CN" w:bidi="ar-SA"/>
        </w:rPr>
        <w:t>(três)</w:t>
      </w:r>
      <w:r>
        <w:rPr>
          <w:rFonts w:eastAsia="Verdana" w:cs="Times New Roman" w:ascii="Times New Roman" w:hAnsi="Times New Roman"/>
          <w:bCs/>
          <w:iCs/>
          <w:color w:val="000000"/>
          <w:spacing w:val="-2"/>
          <w:sz w:val="24"/>
          <w:szCs w:val="24"/>
          <w:lang w:val="pt-BR" w:eastAsia="zh-CN" w:bidi="ar-SA"/>
        </w:rPr>
        <w:t xml:space="preserve"> </w:t>
      </w:r>
      <w:r>
        <w:rPr>
          <w:rFonts w:eastAsia="Verdana" w:cs="Times New Roman" w:ascii="Times New Roman" w:hAnsi="Times New Roman"/>
          <w:bCs/>
          <w:iCs/>
          <w:color w:val="000000"/>
          <w:sz w:val="24"/>
          <w:szCs w:val="24"/>
          <w:lang w:val="pt-BR" w:eastAsia="zh-CN" w:bidi="ar-SA"/>
        </w:rPr>
        <w:t>dias;</w:t>
      </w:r>
      <w:r>
        <w:rPr>
          <w:rFonts w:eastAsia="Verdana" w:cs="Times New Roman" w:ascii="Times New Roman" w:hAnsi="Times New Roman"/>
          <w:bCs/>
          <w:iCs/>
          <w:color w:val="000000"/>
          <w:spacing w:val="-4"/>
          <w:sz w:val="24"/>
          <w:szCs w:val="24"/>
          <w:lang w:val="pt-BR" w:eastAsia="zh-CN" w:bidi="ar-SA"/>
        </w:rPr>
        <w:t xml:space="preserve"> </w:t>
      </w:r>
      <w:r>
        <w:rPr>
          <w:rFonts w:eastAsia="Verdana" w:cs="Times New Roman" w:ascii="Times New Roman" w:hAnsi="Times New Roman"/>
          <w:bCs/>
          <w:iCs/>
          <w:color w:val="000000"/>
          <w:sz w:val="24"/>
          <w:szCs w:val="24"/>
          <w:lang w:val="pt-BR" w:eastAsia="zh-CN" w:bidi="ar-SA"/>
        </w:rPr>
        <w:t>Conclusão:</w:t>
      </w:r>
      <w:r>
        <w:rPr>
          <w:rFonts w:eastAsia="Verdana" w:cs="Times New Roman" w:ascii="Times New Roman" w:hAnsi="Times New Roman"/>
          <w:bCs/>
          <w:iCs/>
          <w:color w:val="000000"/>
          <w:spacing w:val="-10"/>
          <w:sz w:val="24"/>
          <w:szCs w:val="24"/>
          <w:lang w:val="pt-BR" w:eastAsia="zh-CN" w:bidi="ar-SA"/>
        </w:rPr>
        <w:t xml:space="preserve"> </w:t>
      </w:r>
      <w:r>
        <w:rPr>
          <w:rFonts w:eastAsia="Verdana" w:cs="Times New Roman" w:ascii="Times New Roman" w:hAnsi="Times New Roman"/>
          <w:bCs/>
          <w:iCs/>
          <w:color w:val="000000"/>
          <w:sz w:val="24"/>
          <w:szCs w:val="24"/>
          <w:lang w:val="pt-BR" w:eastAsia="zh-CN" w:bidi="ar-SA"/>
        </w:rPr>
        <w:t>12</w:t>
      </w:r>
      <w:r>
        <w:rPr>
          <w:rFonts w:eastAsia="Verdana" w:cs="Times New Roman" w:ascii="Times New Roman" w:hAnsi="Times New Roman"/>
          <w:bCs/>
          <w:iCs/>
          <w:color w:val="000000"/>
          <w:spacing w:val="-9"/>
          <w:sz w:val="24"/>
          <w:szCs w:val="24"/>
          <w:lang w:val="pt-BR" w:eastAsia="zh-CN" w:bidi="ar-SA"/>
        </w:rPr>
        <w:t xml:space="preserve"> </w:t>
      </w:r>
      <w:r>
        <w:rPr>
          <w:rFonts w:eastAsia="Verdana" w:cs="Times New Roman" w:ascii="Times New Roman" w:hAnsi="Times New Roman"/>
          <w:bCs/>
          <w:iCs/>
          <w:color w:val="000000"/>
          <w:sz w:val="24"/>
          <w:szCs w:val="24"/>
          <w:lang w:val="pt-BR" w:eastAsia="zh-CN" w:bidi="ar-SA"/>
        </w:rPr>
        <w:t>(doze)</w:t>
      </w:r>
      <w:r>
        <w:rPr>
          <w:rFonts w:eastAsia="Verdana" w:cs="Times New Roman" w:ascii="Times New Roman" w:hAnsi="Times New Roman"/>
          <w:bCs/>
          <w:iCs/>
          <w:color w:val="000000"/>
          <w:spacing w:val="-8"/>
          <w:sz w:val="24"/>
          <w:szCs w:val="24"/>
          <w:lang w:val="pt-BR" w:eastAsia="zh-CN" w:bidi="ar-SA"/>
        </w:rPr>
        <w:t xml:space="preserve"> </w:t>
      </w:r>
      <w:r>
        <w:rPr>
          <w:rFonts w:eastAsia="Verdana" w:cs="Times New Roman" w:ascii="Times New Roman" w:hAnsi="Times New Roman"/>
          <w:bCs/>
          <w:iCs/>
          <w:color w:val="000000"/>
          <w:sz w:val="24"/>
          <w:szCs w:val="24"/>
          <w:lang w:val="pt-BR" w:eastAsia="zh-CN" w:bidi="ar-SA"/>
        </w:rPr>
        <w:t>meses.</w:t>
      </w:r>
    </w:p>
    <w:p>
      <w:pPr>
        <w:pStyle w:val="Normal"/>
        <w:suppressAutoHyphens w:val="false"/>
        <w:spacing w:lineRule="auto" w:line="276"/>
        <w:ind w:left="-22" w:hanging="0"/>
        <w:jc w:val="both"/>
        <w:rPr>
          <w:rFonts w:ascii="Times New Roman" w:hAnsi="Times New Roman" w:cs="Arial"/>
          <w:iCs/>
          <w:sz w:val="23"/>
          <w:szCs w:val="23"/>
          <w:lang w:eastAsia="pt-BR"/>
        </w:rPr>
      </w:pPr>
      <w:r>
        <w:rPr>
          <w:rFonts w:cs="Arial"/>
          <w:iCs/>
          <w:sz w:val="23"/>
          <w:szCs w:val="23"/>
          <w:lang w:eastAsia="pt-BR"/>
        </w:rPr>
      </w:r>
    </w:p>
    <w:p>
      <w:pPr>
        <w:pStyle w:val="Normal"/>
        <w:suppressAutoHyphens w:val="false"/>
        <w:spacing w:lineRule="auto" w:line="276"/>
        <w:ind w:left="-22" w:hanging="0"/>
        <w:jc w:val="both"/>
        <w:rPr>
          <w:rFonts w:ascii="Times New Roman" w:hAnsi="Times New Roman" w:cs="Arial"/>
          <w:iCs/>
          <w:sz w:val="23"/>
          <w:szCs w:val="23"/>
          <w:lang w:eastAsia="pt-BR"/>
        </w:rPr>
      </w:pPr>
      <w:r>
        <w:rPr>
          <w:rFonts w:eastAsia="Verdana" w:cs="Times New Roman"/>
          <w:b/>
          <w:bCs/>
          <w:iCs/>
          <w:color w:val="000000"/>
          <w:sz w:val="24"/>
          <w:szCs w:val="24"/>
          <w:lang w:val="pt-BR" w:eastAsia="zh-CN" w:bidi="ar-SA"/>
        </w:rPr>
        <w:t>1.3</w:t>
      </w:r>
      <w:r>
        <w:rPr>
          <w:rFonts w:eastAsia="Verdana" w:cs="Times New Roman"/>
          <w:bCs/>
          <w:iCs/>
          <w:color w:val="000000"/>
          <w:sz w:val="24"/>
          <w:szCs w:val="24"/>
          <w:lang w:val="pt-BR" w:eastAsia="zh-CN" w:bidi="ar-SA"/>
        </w:rPr>
        <w:t xml:space="preserve"> A contratação em questão</w:t>
      </w:r>
      <w:r>
        <w:rPr>
          <w:rFonts w:eastAsia="Verdana" w:cs="Times New Roman"/>
          <w:bCs/>
          <w:iCs/>
          <w:color w:val="000000"/>
          <w:sz w:val="24"/>
          <w:szCs w:val="24"/>
        </w:rPr>
        <w:t xml:space="preserve"> enquadra na categoria de bens e serviços comuns, uma vez que seus padrões de desempenho e </w:t>
      </w:r>
      <w:r>
        <w:rPr>
          <w:rFonts w:eastAsia="Verdana" w:cs="Times New Roman"/>
          <w:bCs/>
          <w:iCs/>
          <w:color w:val="000000"/>
          <w:sz w:val="24"/>
          <w:szCs w:val="24"/>
          <w:lang w:val="pt-BR" w:eastAsia="zh-CN" w:bidi="ar-SA"/>
        </w:rPr>
        <w:t>características gerais e específicas usualmente encontradas no mercado</w:t>
      </w:r>
      <w:r>
        <w:rPr>
          <w:rFonts w:eastAsia="Verdana" w:cs="Times New Roman"/>
          <w:bCs/>
          <w:iCs/>
          <w:color w:val="000000"/>
          <w:sz w:val="24"/>
          <w:szCs w:val="24"/>
        </w:rPr>
        <w:t>, conforme estabelecido no art. 6º, inciso XIII, da Lei Federal nº 14.133/2021 e justificativa constante no Documento de Formalização de Demanda.</w:t>
      </w:r>
    </w:p>
    <w:p>
      <w:pPr>
        <w:pStyle w:val="ListParagraph"/>
        <w:tabs>
          <w:tab w:val="clear" w:pos="720"/>
          <w:tab w:val="left" w:pos="0" w:leader="none"/>
        </w:tabs>
        <w:suppressAutoHyphens w:val="false"/>
        <w:spacing w:lineRule="auto" w:line="276"/>
        <w:ind w:left="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ListParagraph"/>
        <w:tabs>
          <w:tab w:val="clear" w:pos="720"/>
          <w:tab w:val="left" w:pos="0" w:leader="none"/>
        </w:tabs>
        <w:suppressAutoHyphens w:val="false"/>
        <w:spacing w:lineRule="auto" w:line="276"/>
        <w:ind w:left="0" w:hanging="0"/>
        <w:jc w:val="both"/>
        <w:rPr/>
      </w:pPr>
      <w:r>
        <w:rPr>
          <w:rFonts w:eastAsia="Times New Roman" w:cs="Times New Roman" w:ascii="Times New Roman" w:hAnsi="Times New Roman"/>
          <w:b/>
          <w:bCs/>
          <w:iCs/>
          <w:color w:val="000000"/>
          <w:sz w:val="24"/>
          <w:szCs w:val="24"/>
        </w:rPr>
        <w:t>1.4.</w:t>
      </w:r>
      <w:r>
        <w:rPr>
          <w:rFonts w:eastAsia="Times New Roman" w:cs="Times New Roman" w:ascii="Times New Roman" w:hAnsi="Times New Roman"/>
          <w:iCs/>
          <w:color w:val="000000"/>
          <w:sz w:val="24"/>
          <w:szCs w:val="24"/>
        </w:rPr>
        <w:t xml:space="preserve"> O custo estimado total da contratação é de R$ 25.117,29 (vinte e cinco mil cento e dezessete reais e vinte e nove centavos)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,</w:t>
      </w:r>
      <w:r>
        <w:rPr>
          <w:rFonts w:eastAsia="Times New Roman" w:cs="Times New Roman" w:ascii="Times New Roman" w:hAnsi="Times New Roman"/>
          <w:i/>
          <w:iCs/>
          <w:color w:val="000000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iCs/>
          <w:color w:val="000000"/>
          <w:sz w:val="24"/>
          <w:szCs w:val="24"/>
        </w:rPr>
        <w:t>conforme custos unitários apurados no painel de preços e em contratos de órgãos públicos com objeto correspondente ao da presente contratação e nos quadros comparativos de preços simples em anexo.</w:t>
      </w:r>
    </w:p>
    <w:p>
      <w:pPr>
        <w:pStyle w:val="ListParagraph"/>
        <w:tabs>
          <w:tab w:val="clear" w:pos="720"/>
          <w:tab w:val="left" w:pos="0" w:leader="none"/>
        </w:tabs>
        <w:suppressAutoHyphens w:val="false"/>
        <w:spacing w:lineRule="auto" w:line="276"/>
        <w:ind w:left="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ivel1"/>
        <w:spacing w:lineRule="auto" w:line="276" w:before="0" w:after="0"/>
        <w:rPr>
          <w:rFonts w:ascii="Times New Roman" w:hAnsi="Times New Roman" w:cs="Times New Roman"/>
          <w:bCs/>
          <w:sz w:val="24"/>
          <w:szCs w:val="24"/>
        </w:rPr>
      </w:pPr>
      <w:bookmarkStart w:id="1" w:name="art23§7"/>
      <w:bookmarkStart w:id="2" w:name="art23§71"/>
      <w:bookmarkStart w:id="3" w:name="art23§72"/>
      <w:bookmarkStart w:id="4" w:name="art23§73"/>
      <w:bookmarkEnd w:id="1"/>
      <w:bookmarkEnd w:id="2"/>
      <w:bookmarkEnd w:id="3"/>
      <w:bookmarkEnd w:id="4"/>
      <w:r>
        <w:rPr>
          <w:rFonts w:cs="Times New Roman" w:ascii="Times New Roman" w:hAnsi="Times New Roman"/>
          <w:bCs/>
          <w:sz w:val="24"/>
          <w:szCs w:val="24"/>
        </w:rPr>
        <w:t>2. FUNDAMENTAÇÃO E DESCRIÇÃO DA NECESSIDADE DA CONTRATAÇÃO</w:t>
      </w:r>
    </w:p>
    <w:p>
      <w:pPr>
        <w:pStyle w:val="Normal"/>
        <w:spacing w:lineRule="auto" w:line="276" w:before="0"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/>
          <w:bCs/>
          <w:sz w:val="24"/>
          <w:szCs w:val="24"/>
        </w:rPr>
      </w:r>
    </w:p>
    <w:p>
      <w:pPr>
        <w:pStyle w:val="Normal"/>
        <w:spacing w:lineRule="auto" w:line="276" w:before="57" w:after="57"/>
        <w:jc w:val="both"/>
        <w:rPr/>
      </w:pPr>
      <w:r>
        <w:rPr>
          <w:rFonts w:cs="Times New Roman"/>
          <w:b/>
          <w:bCs/>
          <w:sz w:val="24"/>
          <w:szCs w:val="24"/>
        </w:rPr>
        <w:t>2.1</w:t>
      </w:r>
      <w:r>
        <w:rPr>
          <w:rFonts w:cs="Times New Roman"/>
          <w:b w:val="false"/>
          <w:bCs w:val="false"/>
          <w:sz w:val="24"/>
          <w:szCs w:val="24"/>
        </w:rPr>
        <w:t>. Parte dos ativos financeiros da Autarquia Previdenciária é destinada a investimentos com o objetivo de maximizar o retorno</w:t>
      </w:r>
      <w:r>
        <w:rPr>
          <w:rFonts w:cs="Times New Roman"/>
          <w:b w:val="false"/>
          <w:bCs w:val="false"/>
          <w:spacing w:val="1"/>
          <w:sz w:val="24"/>
          <w:szCs w:val="24"/>
        </w:rPr>
        <w:t xml:space="preserve"> </w:t>
      </w:r>
      <w:r>
        <w:rPr>
          <w:rFonts w:cs="Times New Roman"/>
          <w:b w:val="false"/>
          <w:bCs w:val="false"/>
          <w:sz w:val="24"/>
          <w:szCs w:val="24"/>
        </w:rPr>
        <w:t>financeiro. Para efetuar esses investimentos, é crucial avaliar o cenário econômico atual no momento da decisão. Isso</w:t>
      </w:r>
      <w:r>
        <w:rPr>
          <w:rFonts w:cs="Times New Roman"/>
          <w:b w:val="false"/>
          <w:bCs w:val="false"/>
          <w:spacing w:val="1"/>
          <w:sz w:val="24"/>
          <w:szCs w:val="24"/>
        </w:rPr>
        <w:t xml:space="preserve"> </w:t>
      </w:r>
      <w:r>
        <w:rPr>
          <w:rFonts w:cs="Times New Roman"/>
          <w:b w:val="false"/>
          <w:bCs w:val="false"/>
          <w:sz w:val="24"/>
          <w:szCs w:val="24"/>
        </w:rPr>
        <w:t>requer uma equipe altamente especializada devido à complexidade das informações envolvidas e à necessidade de elaborar</w:t>
      </w:r>
      <w:r>
        <w:rPr>
          <w:rFonts w:cs="Times New Roman"/>
          <w:b w:val="false"/>
          <w:bCs w:val="false"/>
          <w:spacing w:val="1"/>
          <w:sz w:val="24"/>
          <w:szCs w:val="24"/>
        </w:rPr>
        <w:t xml:space="preserve"> </w:t>
      </w:r>
      <w:r>
        <w:rPr>
          <w:rFonts w:cs="Times New Roman"/>
          <w:b w:val="false"/>
          <w:bCs w:val="false"/>
          <w:sz w:val="24"/>
          <w:szCs w:val="24"/>
        </w:rPr>
        <w:t>relatórios detalhados. É impraticável para a autarquia dedicar recursos e pessoal a essa atividade, visto que a contratação de uma</w:t>
      </w:r>
      <w:r>
        <w:rPr>
          <w:rFonts w:cs="Times New Roman"/>
          <w:b w:val="false"/>
          <w:bCs w:val="false"/>
          <w:spacing w:val="1"/>
          <w:sz w:val="24"/>
          <w:szCs w:val="24"/>
        </w:rPr>
        <w:t xml:space="preserve"> </w:t>
      </w:r>
      <w:r>
        <w:rPr>
          <w:rFonts w:cs="Times New Roman"/>
          <w:b w:val="false"/>
          <w:bCs w:val="false"/>
          <w:sz w:val="24"/>
          <w:szCs w:val="24"/>
        </w:rPr>
        <w:t>empresa</w:t>
      </w:r>
      <w:r>
        <w:rPr>
          <w:rFonts w:cs="Times New Roman"/>
          <w:b w:val="false"/>
          <w:bCs w:val="false"/>
          <w:spacing w:val="29"/>
          <w:sz w:val="24"/>
          <w:szCs w:val="24"/>
        </w:rPr>
        <w:t xml:space="preserve"> </w:t>
      </w:r>
      <w:r>
        <w:rPr>
          <w:rFonts w:cs="Times New Roman"/>
          <w:b w:val="false"/>
          <w:bCs w:val="false"/>
          <w:sz w:val="24"/>
          <w:szCs w:val="24"/>
        </w:rPr>
        <w:t>especializada</w:t>
      </w:r>
      <w:r>
        <w:rPr>
          <w:rFonts w:cs="Times New Roman"/>
          <w:b w:val="false"/>
          <w:bCs w:val="false"/>
          <w:spacing w:val="30"/>
          <w:sz w:val="24"/>
          <w:szCs w:val="24"/>
        </w:rPr>
        <w:t xml:space="preserve"> </w:t>
      </w:r>
      <w:r>
        <w:rPr>
          <w:rFonts w:cs="Times New Roman"/>
          <w:b w:val="false"/>
          <w:bCs w:val="false"/>
          <w:sz w:val="24"/>
          <w:szCs w:val="24"/>
        </w:rPr>
        <w:t>não</w:t>
      </w:r>
      <w:r>
        <w:rPr>
          <w:rFonts w:cs="Times New Roman"/>
          <w:b w:val="false"/>
          <w:bCs w:val="false"/>
          <w:spacing w:val="31"/>
          <w:sz w:val="24"/>
          <w:szCs w:val="24"/>
        </w:rPr>
        <w:t xml:space="preserve"> </w:t>
      </w:r>
      <w:r>
        <w:rPr>
          <w:rFonts w:cs="Times New Roman"/>
          <w:b w:val="false"/>
          <w:bCs w:val="false"/>
          <w:sz w:val="24"/>
          <w:szCs w:val="24"/>
        </w:rPr>
        <w:t>apenas</w:t>
      </w:r>
      <w:r>
        <w:rPr>
          <w:rFonts w:cs="Times New Roman"/>
          <w:b w:val="false"/>
          <w:bCs w:val="false"/>
          <w:spacing w:val="28"/>
          <w:sz w:val="24"/>
          <w:szCs w:val="24"/>
        </w:rPr>
        <w:t xml:space="preserve"> </w:t>
      </w:r>
      <w:r>
        <w:rPr>
          <w:rFonts w:cs="Times New Roman"/>
          <w:b w:val="false"/>
          <w:bCs w:val="false"/>
          <w:sz w:val="24"/>
          <w:szCs w:val="24"/>
        </w:rPr>
        <w:t>garantiria</w:t>
      </w:r>
      <w:r>
        <w:rPr>
          <w:rFonts w:cs="Times New Roman"/>
          <w:b w:val="false"/>
          <w:bCs w:val="false"/>
          <w:spacing w:val="31"/>
          <w:sz w:val="24"/>
          <w:szCs w:val="24"/>
        </w:rPr>
        <w:t xml:space="preserve"> </w:t>
      </w:r>
      <w:r>
        <w:rPr>
          <w:rFonts w:cs="Times New Roman"/>
          <w:b w:val="false"/>
          <w:bCs w:val="false"/>
          <w:sz w:val="24"/>
          <w:szCs w:val="24"/>
        </w:rPr>
        <w:t>uma</w:t>
      </w:r>
      <w:r>
        <w:rPr>
          <w:rFonts w:cs="Times New Roman"/>
          <w:b w:val="false"/>
          <w:bCs w:val="false"/>
          <w:spacing w:val="30"/>
          <w:sz w:val="24"/>
          <w:szCs w:val="24"/>
        </w:rPr>
        <w:t xml:space="preserve"> </w:t>
      </w:r>
      <w:r>
        <w:rPr>
          <w:rFonts w:cs="Times New Roman"/>
          <w:b w:val="false"/>
          <w:bCs w:val="false"/>
          <w:sz w:val="24"/>
          <w:szCs w:val="24"/>
        </w:rPr>
        <w:t>entrega</w:t>
      </w:r>
      <w:r>
        <w:rPr>
          <w:rFonts w:cs="Times New Roman"/>
          <w:b w:val="false"/>
          <w:bCs w:val="false"/>
          <w:spacing w:val="30"/>
          <w:sz w:val="24"/>
          <w:szCs w:val="24"/>
        </w:rPr>
        <w:t xml:space="preserve"> </w:t>
      </w:r>
      <w:r>
        <w:rPr>
          <w:rFonts w:cs="Times New Roman"/>
          <w:b w:val="false"/>
          <w:bCs w:val="false"/>
          <w:sz w:val="24"/>
          <w:szCs w:val="24"/>
        </w:rPr>
        <w:t>mais</w:t>
      </w:r>
      <w:r>
        <w:rPr>
          <w:rFonts w:cs="Times New Roman"/>
          <w:b w:val="false"/>
          <w:bCs w:val="false"/>
          <w:spacing w:val="29"/>
          <w:sz w:val="24"/>
          <w:szCs w:val="24"/>
        </w:rPr>
        <w:t xml:space="preserve"> </w:t>
      </w:r>
      <w:r>
        <w:rPr>
          <w:rFonts w:cs="Times New Roman"/>
          <w:b w:val="false"/>
          <w:bCs w:val="false"/>
          <w:sz w:val="24"/>
          <w:szCs w:val="24"/>
        </w:rPr>
        <w:t>qualificada</w:t>
      </w:r>
      <w:r>
        <w:rPr>
          <w:rFonts w:cs="Times New Roman"/>
          <w:b w:val="false"/>
          <w:bCs w:val="false"/>
          <w:spacing w:val="30"/>
          <w:sz w:val="24"/>
          <w:szCs w:val="24"/>
        </w:rPr>
        <w:t xml:space="preserve"> </w:t>
      </w:r>
      <w:r>
        <w:rPr>
          <w:rFonts w:cs="Times New Roman"/>
          <w:b w:val="false"/>
          <w:bCs w:val="false"/>
          <w:sz w:val="24"/>
          <w:szCs w:val="24"/>
        </w:rPr>
        <w:t>de</w:t>
      </w:r>
      <w:r>
        <w:rPr>
          <w:rFonts w:cs="Times New Roman"/>
          <w:b w:val="false"/>
          <w:bCs w:val="false"/>
          <w:spacing w:val="29"/>
          <w:sz w:val="24"/>
          <w:szCs w:val="24"/>
        </w:rPr>
        <w:t xml:space="preserve"> </w:t>
      </w:r>
      <w:r>
        <w:rPr>
          <w:rFonts w:cs="Times New Roman"/>
          <w:b w:val="false"/>
          <w:bCs w:val="false"/>
          <w:sz w:val="24"/>
          <w:szCs w:val="24"/>
        </w:rPr>
        <w:t>informações</w:t>
      </w:r>
      <w:r>
        <w:rPr>
          <w:rFonts w:cs="Times New Roman"/>
          <w:b w:val="false"/>
          <w:bCs w:val="false"/>
          <w:spacing w:val="30"/>
          <w:sz w:val="24"/>
          <w:szCs w:val="24"/>
        </w:rPr>
        <w:t xml:space="preserve"> </w:t>
      </w:r>
      <w:r>
        <w:rPr>
          <w:rFonts w:cs="Times New Roman"/>
          <w:b w:val="false"/>
          <w:bCs w:val="false"/>
          <w:sz w:val="24"/>
          <w:szCs w:val="24"/>
        </w:rPr>
        <w:t>para</w:t>
      </w:r>
      <w:r>
        <w:rPr>
          <w:rFonts w:cs="Times New Roman"/>
          <w:b w:val="false"/>
          <w:bCs w:val="false"/>
          <w:spacing w:val="27"/>
          <w:sz w:val="24"/>
          <w:szCs w:val="24"/>
        </w:rPr>
        <w:t xml:space="preserve"> </w:t>
      </w:r>
      <w:r>
        <w:rPr>
          <w:rFonts w:cs="Times New Roman"/>
          <w:b w:val="false"/>
          <w:bCs w:val="false"/>
          <w:sz w:val="24"/>
          <w:szCs w:val="24"/>
        </w:rPr>
        <w:t>orientar</w:t>
      </w:r>
      <w:r>
        <w:rPr>
          <w:rFonts w:cs="Times New Roman"/>
          <w:b w:val="false"/>
          <w:bCs w:val="false"/>
          <w:spacing w:val="31"/>
          <w:sz w:val="24"/>
          <w:szCs w:val="24"/>
        </w:rPr>
        <w:t xml:space="preserve"> </w:t>
      </w:r>
      <w:r>
        <w:rPr>
          <w:rFonts w:cs="Times New Roman"/>
          <w:b w:val="false"/>
          <w:bCs w:val="false"/>
          <w:sz w:val="24"/>
          <w:szCs w:val="24"/>
        </w:rPr>
        <w:t>os</w:t>
      </w:r>
      <w:r>
        <w:rPr>
          <w:rFonts w:cs="Times New Roman"/>
          <w:b w:val="false"/>
          <w:bCs w:val="false"/>
          <w:spacing w:val="28"/>
          <w:sz w:val="24"/>
          <w:szCs w:val="24"/>
        </w:rPr>
        <w:t xml:space="preserve"> </w:t>
      </w:r>
      <w:r>
        <w:rPr>
          <w:rFonts w:cs="Times New Roman"/>
          <w:b w:val="false"/>
          <w:bCs w:val="false"/>
          <w:sz w:val="24"/>
          <w:szCs w:val="24"/>
        </w:rPr>
        <w:t>investimentos</w:t>
      </w:r>
      <w:r>
        <w:rPr>
          <w:rFonts w:cs="Times New Roman"/>
          <w:b w:val="false"/>
          <w:bCs w:val="false"/>
          <w:spacing w:val="27"/>
          <w:sz w:val="24"/>
          <w:szCs w:val="24"/>
        </w:rPr>
        <w:t xml:space="preserve"> </w:t>
      </w:r>
      <w:r>
        <w:rPr>
          <w:rFonts w:cs="Times New Roman"/>
          <w:b w:val="false"/>
          <w:bCs w:val="false"/>
          <w:sz w:val="24"/>
          <w:szCs w:val="24"/>
        </w:rPr>
        <w:t>de</w:t>
      </w:r>
      <w:r>
        <w:rPr>
          <w:rFonts w:cs="Times New Roman"/>
          <w:b w:val="false"/>
          <w:bCs w:val="false"/>
          <w:spacing w:val="1"/>
          <w:sz w:val="24"/>
          <w:szCs w:val="24"/>
        </w:rPr>
        <w:t xml:space="preserve"> </w:t>
      </w:r>
      <w:r>
        <w:rPr>
          <w:rFonts w:cs="Times New Roman"/>
          <w:b w:val="false"/>
          <w:bCs w:val="false"/>
          <w:sz w:val="24"/>
          <w:szCs w:val="24"/>
        </w:rPr>
        <w:t>forma mais vantajosa, mas também representaria uma economia significativa de recursos públicos. Assim, surge a urgente</w:t>
      </w:r>
      <w:r>
        <w:rPr>
          <w:rFonts w:cs="Times New Roman"/>
          <w:b w:val="false"/>
          <w:bCs w:val="false"/>
          <w:spacing w:val="1"/>
          <w:sz w:val="24"/>
          <w:szCs w:val="24"/>
        </w:rPr>
        <w:t xml:space="preserve"> </w:t>
      </w:r>
      <w:r>
        <w:rPr>
          <w:rFonts w:cs="Times New Roman"/>
          <w:b w:val="false"/>
          <w:bCs w:val="false"/>
          <w:sz w:val="24"/>
          <w:szCs w:val="24"/>
        </w:rPr>
        <w:t>necessidade de contratar uma consultoria financeira especializada em Regimes Próprios de Previdência Social, devidamente</w:t>
      </w:r>
      <w:r>
        <w:rPr>
          <w:rFonts w:cs="Times New Roman"/>
          <w:b w:val="false"/>
          <w:bCs w:val="false"/>
          <w:spacing w:val="1"/>
          <w:sz w:val="24"/>
          <w:szCs w:val="24"/>
        </w:rPr>
        <w:t xml:space="preserve"> </w:t>
      </w:r>
      <w:r>
        <w:rPr>
          <w:rFonts w:cs="Times New Roman"/>
          <w:b w:val="false"/>
          <w:bCs w:val="false"/>
          <w:sz w:val="24"/>
          <w:szCs w:val="24"/>
        </w:rPr>
        <w:t>credenciada pela CVM como Consultoria de Valores Mobiliários, em conformidade com as diretrizes estabelecidas pela Resolução</w:t>
      </w:r>
      <w:r>
        <w:rPr>
          <w:rFonts w:cs="Times New Roman"/>
          <w:b w:val="false"/>
          <w:bCs w:val="false"/>
          <w:spacing w:val="1"/>
          <w:sz w:val="24"/>
          <w:szCs w:val="24"/>
        </w:rPr>
        <w:t xml:space="preserve"> </w:t>
      </w:r>
      <w:r>
        <w:rPr>
          <w:rFonts w:cs="Times New Roman"/>
          <w:b w:val="false"/>
          <w:bCs w:val="false"/>
          <w:sz w:val="24"/>
          <w:szCs w:val="24"/>
        </w:rPr>
        <w:t>CMN</w:t>
      </w:r>
      <w:r>
        <w:rPr>
          <w:rFonts w:cs="Times New Roman"/>
          <w:b w:val="false"/>
          <w:bCs w:val="false"/>
          <w:spacing w:val="-2"/>
          <w:sz w:val="24"/>
          <w:szCs w:val="24"/>
        </w:rPr>
        <w:t xml:space="preserve"> </w:t>
      </w:r>
      <w:r>
        <w:rPr>
          <w:rFonts w:cs="Times New Roman"/>
          <w:b w:val="false"/>
          <w:bCs w:val="false"/>
          <w:sz w:val="24"/>
          <w:szCs w:val="24"/>
        </w:rPr>
        <w:t>Nº</w:t>
      </w:r>
      <w:r>
        <w:rPr>
          <w:rFonts w:cs="Times New Roman"/>
          <w:b w:val="false"/>
          <w:bCs w:val="false"/>
          <w:spacing w:val="-1"/>
          <w:sz w:val="24"/>
          <w:szCs w:val="24"/>
        </w:rPr>
        <w:t xml:space="preserve"> </w:t>
      </w:r>
      <w:r>
        <w:rPr>
          <w:rFonts w:cs="Times New Roman"/>
          <w:b w:val="false"/>
          <w:bCs w:val="false"/>
          <w:sz w:val="24"/>
          <w:szCs w:val="24"/>
        </w:rPr>
        <w:t>4.963/2021.</w:t>
      </w:r>
    </w:p>
    <w:p>
      <w:pPr>
        <w:pStyle w:val="Normal"/>
        <w:spacing w:lineRule="auto" w:line="276"/>
        <w:jc w:val="both"/>
        <w:rPr>
          <w:rFonts w:ascii="Times New Roman" w:hAnsi="Times New Roman" w:cs="Arial"/>
          <w:b w:val="false"/>
          <w:b w:val="false"/>
          <w:bCs w:val="false"/>
          <w:sz w:val="24"/>
          <w:szCs w:val="24"/>
        </w:rPr>
      </w:pPr>
      <w:r>
        <w:rPr>
          <w:rFonts w:cs="Arial"/>
          <w:b w:val="false"/>
          <w:bCs w:val="false"/>
          <w:sz w:val="24"/>
          <w:szCs w:val="24"/>
        </w:rPr>
      </w:r>
    </w:p>
    <w:p>
      <w:pPr>
        <w:pStyle w:val="Normal"/>
        <w:spacing w:lineRule="auto" w:line="276"/>
        <w:jc w:val="both"/>
        <w:rPr/>
      </w:pPr>
      <w:r>
        <w:rPr>
          <w:rFonts w:cs="Arial"/>
          <w:b/>
          <w:bCs/>
          <w:sz w:val="24"/>
          <w:szCs w:val="24"/>
        </w:rPr>
        <w:t>2.2.</w:t>
      </w:r>
      <w:r>
        <w:rPr>
          <w:rFonts w:cs="Arial"/>
          <w:b w:val="false"/>
          <w:bCs w:val="false"/>
          <w:sz w:val="24"/>
          <w:szCs w:val="24"/>
        </w:rPr>
        <w:t xml:space="preserve"> Os serviços a serem executados são relativos à realização de estudos/consultoria, elaboração de pareceres e participações/convocações para fins de assessoria técnica em reuniões da Diretoria Executiva e do Comitê de Investimentos, e demais eventos pertinentes a área financeira, solicitadas pelo SGP-PREV.</w:t>
      </w:r>
    </w:p>
    <w:p>
      <w:pPr>
        <w:pStyle w:val="Normal"/>
        <w:spacing w:lineRule="auto" w:line="276"/>
        <w:jc w:val="both"/>
        <w:rPr>
          <w:rFonts w:ascii="Times New Roman" w:hAnsi="Times New Roman" w:cs="Arial"/>
          <w:b w:val="false"/>
          <w:b w:val="false"/>
          <w:bCs w:val="false"/>
          <w:sz w:val="24"/>
          <w:szCs w:val="24"/>
        </w:rPr>
      </w:pPr>
      <w:r>
        <w:rPr>
          <w:rFonts w:cs="Arial"/>
          <w:b w:val="false"/>
          <w:bCs w:val="false"/>
          <w:sz w:val="24"/>
          <w:szCs w:val="24"/>
        </w:rPr>
      </w:r>
    </w:p>
    <w:p>
      <w:pPr>
        <w:pStyle w:val="Normal"/>
        <w:spacing w:lineRule="auto" w:line="276"/>
        <w:jc w:val="both"/>
        <w:rPr/>
      </w:pPr>
      <w:r>
        <w:rPr>
          <w:rFonts w:cs="Arial"/>
          <w:b/>
          <w:bCs/>
          <w:sz w:val="24"/>
          <w:szCs w:val="24"/>
        </w:rPr>
        <w:t>2.3</w:t>
      </w:r>
      <w:r>
        <w:rPr>
          <w:rFonts w:cs="Arial"/>
          <w:b w:val="false"/>
          <w:bCs w:val="false"/>
          <w:sz w:val="24"/>
          <w:szCs w:val="24"/>
        </w:rPr>
        <w:t>. Por meio da consultoria ora solicitada, o SGP-PREV poderá realizar uma avaliação segura dos investimentos do RPPS de São Gabriel da Palha – ES, visando uma gestão adequada e também possibilitando adotar medidas para o equilíbrio financeiro e atuarial do mesmo, atendendo assim, inclusive, exigência da Constituição Federal.</w:t>
      </w:r>
    </w:p>
    <w:p>
      <w:pPr>
        <w:pStyle w:val="Normal"/>
        <w:spacing w:lineRule="auto" w:line="276"/>
        <w:jc w:val="both"/>
        <w:rPr>
          <w:rFonts w:ascii="Times New Roman" w:hAnsi="Times New Roman" w:cs="Arial"/>
          <w:b w:val="false"/>
          <w:b w:val="false"/>
          <w:bCs w:val="false"/>
          <w:sz w:val="24"/>
          <w:szCs w:val="24"/>
        </w:rPr>
      </w:pPr>
      <w:r>
        <w:rPr>
          <w:rFonts w:cs="Arial"/>
          <w:b w:val="false"/>
          <w:bCs w:val="false"/>
          <w:sz w:val="24"/>
          <w:szCs w:val="24"/>
        </w:rPr>
      </w:r>
    </w:p>
    <w:p>
      <w:pPr>
        <w:pStyle w:val="Normal"/>
        <w:spacing w:lineRule="auto" w:line="276"/>
        <w:jc w:val="both"/>
        <w:rPr/>
      </w:pPr>
      <w:r>
        <w:rPr>
          <w:rFonts w:cs="Arial"/>
          <w:b/>
          <w:bCs/>
          <w:sz w:val="24"/>
          <w:szCs w:val="24"/>
        </w:rPr>
        <w:t xml:space="preserve">2.4. </w:t>
      </w:r>
      <w:r>
        <w:rPr>
          <w:rFonts w:cs="Arial"/>
          <w:b w:val="false"/>
          <w:bCs w:val="false"/>
          <w:sz w:val="24"/>
          <w:szCs w:val="24"/>
        </w:rPr>
        <w:t xml:space="preserve">O SGP-PREV tem primado pela busca da qualidade na gestão e prestação de serviços aos seus participantes. Assim, objetivando atender toda a sua demanda de forma menos onerosa possível, optou-se pela prestação do serviço de consultoria, de maneira a atender às variadas necessidades técnicas para o acompanhamento e gestão do seu </w:t>
      </w:r>
      <w:r>
        <w:rPr>
          <w:rFonts w:cs="Arial"/>
          <w:b w:val="false"/>
          <w:bCs w:val="false"/>
          <w:sz w:val="24"/>
          <w:szCs w:val="24"/>
          <w:highlight w:val="white"/>
        </w:rPr>
        <w:t xml:space="preserve">Regime Próprio de Previdência. </w:t>
      </w:r>
    </w:p>
    <w:p>
      <w:pPr>
        <w:pStyle w:val="Normal"/>
        <w:spacing w:lineRule="auto" w:line="276"/>
        <w:jc w:val="both"/>
        <w:rPr>
          <w:rFonts w:ascii="Times New Roman" w:hAnsi="Times New Roman" w:cs="Arial"/>
          <w:b w:val="false"/>
          <w:b w:val="false"/>
          <w:bCs w:val="false"/>
          <w:sz w:val="24"/>
          <w:szCs w:val="24"/>
        </w:rPr>
      </w:pPr>
      <w:r>
        <w:rPr>
          <w:rFonts w:cs="Arial"/>
          <w:b w:val="false"/>
          <w:bCs w:val="false"/>
          <w:sz w:val="24"/>
          <w:szCs w:val="24"/>
        </w:rPr>
      </w:r>
    </w:p>
    <w:p>
      <w:pPr>
        <w:pStyle w:val="Normal"/>
        <w:spacing w:lineRule="auto" w:line="276"/>
        <w:jc w:val="both"/>
        <w:rPr/>
      </w:pPr>
      <w:r>
        <w:rPr>
          <w:rFonts w:cs="Arial"/>
          <w:b/>
          <w:bCs/>
          <w:sz w:val="24"/>
          <w:szCs w:val="24"/>
        </w:rPr>
        <w:t>2.5</w:t>
      </w:r>
      <w:r>
        <w:rPr>
          <w:rFonts w:cs="Arial"/>
          <w:b w:val="false"/>
          <w:bCs w:val="false"/>
          <w:sz w:val="24"/>
          <w:szCs w:val="24"/>
        </w:rPr>
        <w:t xml:space="preserve">. Os serviços a serem executados são considerados de grande relevância para o equilíbrio financeiro e atuarial do plano e consequente sustentabilidade do mesmo. Assim, como o Município não dispõe, dentre o seu quadro de colaboradores, de pessoal técnico especializado para os serviços em comento para a realização de tais atividades, necessário se faz contratação de consultoria técnica especializada, inclusive com direito a uso no período do contrato de sistema de informações gerenciais dos investimentos do SGP-PREV. </w:t>
      </w:r>
    </w:p>
    <w:p>
      <w:pPr>
        <w:pStyle w:val="Normal"/>
        <w:spacing w:lineRule="auto" w:line="276"/>
        <w:jc w:val="both"/>
        <w:rPr>
          <w:rFonts w:ascii="Times New Roman" w:hAnsi="Times New Roman" w:cs="Arial"/>
          <w:b w:val="false"/>
          <w:b w:val="false"/>
          <w:bCs w:val="false"/>
          <w:sz w:val="24"/>
          <w:szCs w:val="24"/>
        </w:rPr>
      </w:pPr>
      <w:r>
        <w:rPr>
          <w:rFonts w:cs="Arial"/>
          <w:b w:val="false"/>
          <w:bCs w:val="false"/>
          <w:sz w:val="24"/>
          <w:szCs w:val="24"/>
        </w:rPr>
      </w:r>
    </w:p>
    <w:p>
      <w:pPr>
        <w:pStyle w:val="Normal"/>
        <w:spacing w:lineRule="auto" w:line="276" w:before="0" w:after="0"/>
        <w:jc w:val="both"/>
        <w:rPr/>
      </w:pPr>
      <w:r>
        <w:rPr>
          <w:rFonts w:cs="Arial"/>
          <w:b/>
          <w:bCs/>
          <w:sz w:val="24"/>
          <w:szCs w:val="24"/>
        </w:rPr>
        <w:t>2.6.</w:t>
      </w:r>
      <w:r>
        <w:rPr>
          <w:rFonts w:cs="Arial"/>
          <w:b w:val="false"/>
          <w:bCs w:val="false"/>
          <w:sz w:val="24"/>
          <w:szCs w:val="24"/>
        </w:rPr>
        <w:t xml:space="preserve"> Desta forma, com base nas informações acima, solicitamos a contratação de empresa especializada em serviços de consultoria na área de investimentos para suprir demanda junto a esta Autarquia Previdenciária.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Arial"/>
          <w:b w:val="false"/>
          <w:b w:val="false"/>
          <w:bCs w:val="false"/>
          <w:sz w:val="24"/>
          <w:szCs w:val="24"/>
        </w:rPr>
      </w:pPr>
      <w:r>
        <w:rPr>
          <w:rFonts w:cs="Arial"/>
          <w:b w:val="false"/>
          <w:bCs w:val="false"/>
          <w:sz w:val="24"/>
          <w:szCs w:val="24"/>
        </w:rPr>
      </w:r>
    </w:p>
    <w:p>
      <w:pPr>
        <w:pStyle w:val="Corpodotexto"/>
        <w:spacing w:lineRule="auto" w:line="276" w:before="0" w:after="198"/>
        <w:ind w:left="0" w:right="0" w:hanging="0"/>
        <w:jc w:val="both"/>
        <w:rPr/>
      </w:pPr>
      <w:r>
        <w:rPr>
          <w:rFonts w:eastAsia="Verdana" w:cs="Times New Roman"/>
          <w:b/>
          <w:bCs/>
          <w:i w:val="false"/>
          <w:iCs w:val="false"/>
          <w:color w:val="000000"/>
          <w:sz w:val="24"/>
          <w:szCs w:val="24"/>
          <w:shd w:fill="auto" w:val="clear"/>
          <w:lang w:val="pt-BR" w:eastAsia="zh-CN" w:bidi="ar-SA"/>
        </w:rPr>
        <w:t>2.7</w:t>
      </w:r>
      <w:r>
        <w:rPr>
          <w:rFonts w:eastAsia="Verdana" w:cs="Times New Roman"/>
          <w:b w:val="false"/>
          <w:bCs w:val="false"/>
          <w:i w:val="false"/>
          <w:iCs w:val="false"/>
          <w:color w:val="000000"/>
          <w:sz w:val="24"/>
          <w:szCs w:val="24"/>
          <w:shd w:fill="auto" w:val="clear"/>
          <w:lang w:val="pt-BR" w:eastAsia="zh-CN" w:bidi="ar-SA"/>
        </w:rPr>
        <w:t xml:space="preserve"> </w:t>
      </w:r>
      <w:r>
        <w:rPr>
          <w:rFonts w:eastAsia="Verdana" w:cs="Times New Roman"/>
          <w:b/>
          <w:bCs/>
          <w:i w:val="false"/>
          <w:iCs w:val="false"/>
          <w:color w:val="000000"/>
          <w:sz w:val="24"/>
          <w:szCs w:val="24"/>
          <w:shd w:fill="auto" w:val="clear"/>
          <w:lang w:val="pt-BR" w:eastAsia="zh-CN" w:bidi="ar-SA"/>
        </w:rPr>
        <w:t xml:space="preserve">DA DISPENSA </w:t>
      </w:r>
      <w:r>
        <w:rPr>
          <w:rFonts w:eastAsia="Verdana" w:cs="Times New Roman"/>
          <w:b/>
          <w:bCs/>
          <w:i w:val="false"/>
          <w:iCs w:val="false"/>
          <w:color w:val="000000"/>
          <w:sz w:val="24"/>
          <w:szCs w:val="24"/>
        </w:rPr>
        <w:t>DE ESTUDO TÉCNICO PRELIMINAR</w:t>
      </w:r>
    </w:p>
    <w:p>
      <w:pPr>
        <w:pStyle w:val="Normal"/>
        <w:bidi w:val="0"/>
        <w:spacing w:lineRule="auto" w:line="276" w:before="0" w:after="198"/>
        <w:ind w:left="0" w:right="0" w:hanging="0"/>
        <w:jc w:val="both"/>
        <w:rPr>
          <w:rFonts w:ascii="Times New Roman" w:hAnsi="Times New Roman" w:eastAsia="Verdana" w:cs="Arial"/>
          <w:b w:val="false"/>
          <w:b w:val="false"/>
          <w:bCs w:val="false"/>
          <w:i w:val="false"/>
          <w:i w:val="false"/>
          <w:iCs w:val="false"/>
          <w:color w:val="000000"/>
          <w:sz w:val="24"/>
          <w:szCs w:val="24"/>
        </w:rPr>
      </w:pPr>
      <w:r>
        <w:rPr>
          <w:rFonts w:eastAsia="Verdana" w:cs="Arial"/>
          <w:b w:val="false"/>
          <w:bCs w:val="false"/>
          <w:i w:val="false"/>
          <w:iCs w:val="false"/>
          <w:color w:val="000000"/>
          <w:sz w:val="24"/>
          <w:szCs w:val="24"/>
        </w:rPr>
        <w:t xml:space="preserve">Justifica a dispensa de elaboração de Estudo Técnico Preliminar para a contratação em epígrafe o disposto no artigo 7º, II, da Portaria nº 13/2024. </w:t>
      </w:r>
    </w:p>
    <w:p>
      <w:pPr>
        <w:pStyle w:val="Nivel2"/>
        <w:numPr>
          <w:ilvl w:val="0"/>
          <w:numId w:val="0"/>
        </w:numPr>
        <w:spacing w:lineRule="auto" w:line="276" w:before="0" w:after="0"/>
        <w:ind w:left="0" w:right="0" w:hanging="0"/>
        <w:jc w:val="both"/>
        <w:rPr/>
      </w:pPr>
      <w:r>
        <w:rPr>
          <w:rFonts w:eastAsia="Verdana" w:cs="Times New Roman" w:ascii="Times New Roman" w:hAnsi="Times New Roman"/>
          <w:b/>
          <w:bCs/>
          <w:color w:val="000000"/>
          <w:sz w:val="24"/>
          <w:szCs w:val="24"/>
          <w:shd w:fill="auto" w:val="clear"/>
          <w:lang w:val="pt-BR" w:eastAsia="zh-CN" w:bidi="ar-SA"/>
        </w:rPr>
        <w:t>3</w:t>
      </w:r>
      <w:r>
        <w:rPr>
          <w:rFonts w:eastAsia="Verdana" w:cs="Times New Roman" w:ascii="Times New Roman" w:hAnsi="Times New Roman"/>
          <w:b/>
          <w:bCs/>
          <w:color w:val="000000"/>
          <w:sz w:val="24"/>
          <w:szCs w:val="24"/>
          <w:shd w:fill="auto" w:val="clear"/>
        </w:rPr>
        <w:t>. PRAZO DE VIGÊNCIA</w:t>
      </w:r>
    </w:p>
    <w:p>
      <w:pPr>
        <w:pStyle w:val="Nivel2"/>
        <w:numPr>
          <w:ilvl w:val="0"/>
          <w:numId w:val="0"/>
        </w:numPr>
        <w:spacing w:lineRule="auto" w:line="276" w:before="0" w:after="0"/>
        <w:ind w:left="0" w:right="0" w:hanging="0"/>
        <w:jc w:val="both"/>
        <w:rPr/>
      </w:pPr>
      <w:r>
        <w:rPr>
          <w:rFonts w:eastAsia="Verdana" w:cs="Times New Roman" w:ascii="Times New Roman" w:hAnsi="Times New Roman"/>
          <w:color w:val="000000"/>
          <w:sz w:val="24"/>
          <w:szCs w:val="24"/>
          <w:shd w:fill="auto" w:val="clear"/>
        </w:rPr>
        <w:t xml:space="preserve">3.1 </w:t>
      </w:r>
      <w:r>
        <w:rPr>
          <w:rFonts w:eastAsia="Verdana" w:cs="Times New Roman" w:ascii="Times New Roman" w:hAnsi="Times New Roman"/>
          <w:iCs/>
          <w:color w:val="000000"/>
          <w:sz w:val="24"/>
          <w:szCs w:val="24"/>
          <w:shd w:fill="auto" w:val="clear"/>
        </w:rPr>
        <w:t>O</w:t>
      </w:r>
      <w:r>
        <w:rPr>
          <w:rFonts w:eastAsia="Verdana" w:cs="Times New Roman" w:ascii="Times New Roman" w:hAnsi="Times New Roman"/>
          <w:bCs/>
          <w:iCs/>
          <w:color w:val="000000"/>
          <w:sz w:val="24"/>
          <w:szCs w:val="24"/>
          <w:shd w:fill="auto" w:val="clear"/>
        </w:rPr>
        <w:t xml:space="preserve"> prazo de vigência do contrato será de 12 (doze) meses, conforme art. 105 da Lei 14.133/2021.</w:t>
      </w:r>
    </w:p>
    <w:p>
      <w:pPr>
        <w:pStyle w:val="Nivel2"/>
        <w:numPr>
          <w:ilvl w:val="0"/>
          <w:numId w:val="0"/>
        </w:numPr>
        <w:spacing w:lineRule="auto" w:line="276" w:before="0" w:after="0"/>
        <w:ind w:left="0" w:right="0" w:hanging="0"/>
        <w:jc w:val="both"/>
        <w:rPr>
          <w:rFonts w:ascii="Times New Roman" w:hAnsi="Times New Roman" w:eastAsia="Verdana" w:cs="Times New Roman"/>
          <w:bCs/>
          <w:iCs/>
          <w:color w:val="000000"/>
          <w:sz w:val="24"/>
          <w:szCs w:val="24"/>
          <w:shd w:fill="auto" w:val="clear"/>
        </w:rPr>
      </w:pPr>
      <w:r>
        <w:rPr>
          <w:rFonts w:eastAsia="Verdana" w:cs="Times New Roman" w:ascii="Times New Roman" w:hAnsi="Times New Roman"/>
          <w:bCs/>
          <w:iCs/>
          <w:color w:val="000000"/>
          <w:sz w:val="24"/>
          <w:szCs w:val="24"/>
          <w:shd w:fill="auto" w:val="clear"/>
        </w:rPr>
        <w:t>3.2 O contrato poderá ser prorrogado até o limite de valor estabelecido para as contratações por dispensa de licitação.</w:t>
      </w:r>
    </w:p>
    <w:p>
      <w:pPr>
        <w:pStyle w:val="Nivel2"/>
        <w:numPr>
          <w:ilvl w:val="0"/>
          <w:numId w:val="0"/>
        </w:numPr>
        <w:spacing w:lineRule="auto" w:line="276" w:before="0" w:after="0"/>
        <w:ind w:left="0" w:right="0" w:hanging="0"/>
        <w:jc w:val="both"/>
        <w:rPr>
          <w:rFonts w:ascii="Times New Roman" w:hAnsi="Times New Roman" w:eastAsia="Verdana" w:cs="Times New Roman"/>
          <w:bCs/>
          <w:iCs/>
          <w:color w:val="000000"/>
          <w:sz w:val="24"/>
          <w:szCs w:val="24"/>
          <w:shd w:fill="auto" w:val="clear"/>
        </w:rPr>
      </w:pPr>
      <w:r>
        <w:rPr>
          <w:rFonts w:eastAsia="Verdana" w:cs="Times New Roman" w:ascii="Times New Roman" w:hAnsi="Times New Roman"/>
          <w:bCs/>
          <w:iCs/>
          <w:color w:val="000000"/>
          <w:sz w:val="24"/>
          <w:szCs w:val="24"/>
          <w:shd w:fill="auto" w:val="clear"/>
        </w:rPr>
        <w:t>3.3 O instrumento contratual da presente contratação poderá ser assinado antes do término da contratação vigente, oportunidade em que aquele será imediatamente rescindido.</w:t>
      </w:r>
    </w:p>
    <w:p>
      <w:pPr>
        <w:pStyle w:val="Nivel2"/>
        <w:numPr>
          <w:ilvl w:val="0"/>
          <w:numId w:val="0"/>
        </w:numPr>
        <w:spacing w:lineRule="auto" w:line="276" w:before="0" w:after="0"/>
        <w:ind w:left="0" w:right="0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ivel2"/>
        <w:numPr>
          <w:ilvl w:val="0"/>
          <w:numId w:val="0"/>
        </w:numPr>
        <w:spacing w:lineRule="auto" w:line="276" w:before="0" w:after="0"/>
        <w:ind w:left="0" w:right="0" w:hanging="0"/>
        <w:jc w:val="both"/>
        <w:rPr/>
      </w:pPr>
      <w:r>
        <w:rPr>
          <w:rFonts w:eastAsia="Arial" w:cs="Times New Roman" w:ascii="Times New Roman" w:hAnsi="Times New Roman"/>
          <w:b/>
          <w:color w:val="000000"/>
          <w:sz w:val="24"/>
          <w:szCs w:val="24"/>
          <w:lang w:val="pt-BR" w:eastAsia="zh-CN" w:bidi="ar-SA"/>
        </w:rPr>
        <w:t>4</w:t>
      </w:r>
      <w:r>
        <w:rPr>
          <w:rFonts w:cs="Times New Roman" w:ascii="Times New Roman" w:hAnsi="Times New Roman"/>
          <w:b/>
          <w:sz w:val="24"/>
          <w:szCs w:val="24"/>
        </w:rPr>
        <w:t xml:space="preserve">.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DA</w:t>
      </w:r>
      <w:r>
        <w:rPr>
          <w:rFonts w:cs="Times New Roman" w:ascii="Times New Roman" w:hAnsi="Times New Roman"/>
          <w:b/>
          <w:sz w:val="24"/>
          <w:szCs w:val="24"/>
        </w:rPr>
        <w:t xml:space="preserve"> SUBCONTRATAÇÃO</w:t>
      </w:r>
    </w:p>
    <w:p>
      <w:pPr>
        <w:pStyle w:val="SemEspaamento"/>
        <w:spacing w:lineRule="auto" w:line="276" w:before="0" w:after="0"/>
        <w:jc w:val="both"/>
        <w:rPr/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val="pt-BR" w:eastAsia="zh-CN" w:bidi="ar-SA"/>
        </w:rPr>
        <w:t>4</w:t>
      </w:r>
      <w:r>
        <w:rPr>
          <w:rFonts w:cs="Times New Roman" w:ascii="Times New Roman" w:hAnsi="Times New Roman"/>
          <w:color w:val="000000"/>
          <w:sz w:val="24"/>
          <w:szCs w:val="24"/>
        </w:rPr>
        <w:t>.1 É vedada a subcontratação total ou parcial da execução do objeto.</w:t>
      </w:r>
    </w:p>
    <w:p>
      <w:pPr>
        <w:pStyle w:val="SemEspaamento"/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vel1SemNumPreto"/>
        <w:spacing w:lineRule="auto" w:line="276" w:before="0" w:after="0"/>
        <w:jc w:val="both"/>
        <w:rPr/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val="pt-BR" w:eastAsia="zh-CN" w:bidi="hi-IN"/>
        </w:rPr>
        <w:t>5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.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GARANTIA DA CONTRATAÇÃO</w:t>
      </w:r>
    </w:p>
    <w:p>
      <w:pPr>
        <w:pStyle w:val="Nvel1SemNumPreto"/>
        <w:spacing w:lineRule="auto" w:line="276" w:before="0" w:after="0"/>
        <w:jc w:val="both"/>
        <w:rPr/>
      </w:pP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4"/>
          <w:szCs w:val="24"/>
          <w:lang w:val="pt-BR" w:eastAsia="zh-CN" w:bidi="hi-IN"/>
        </w:rPr>
        <w:t>5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4"/>
          <w:szCs w:val="24"/>
        </w:rPr>
        <w:t xml:space="preserve">.1 Não haverá exigência da garantia da contratação 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4"/>
          <w:szCs w:val="24"/>
          <w:lang w:val="pt-BR" w:eastAsia="zh-CN" w:bidi="hi-IN"/>
        </w:rPr>
        <w:t xml:space="preserve">dos </w:t>
      </w:r>
      <w:r>
        <w:fldChar w:fldCharType="begin"/>
      </w:r>
      <w:r>
        <w:rPr>
          <w:rStyle w:val="LinkdaInternet"/>
          <w:sz w:val="24"/>
          <w:u w:val="none"/>
          <w:b w:val="false"/>
          <w:szCs w:val="24"/>
          <w:bCs w:val="false"/>
          <w:rFonts w:eastAsia="Times New Roman" w:cs="Times New Roman" w:ascii="Times New Roman" w:hAnsi="Times New Roman"/>
          <w:color w:val="000000"/>
        </w:rPr>
        <w:instrText xml:space="preserve"> HYPERLINK "http://www.planalto.gov.br/ccivil_03/_ato2019-2022/2021/lei/L14133.htm" \l "art96"</w:instrText>
      </w:r>
      <w:r>
        <w:rPr>
          <w:rStyle w:val="LinkdaInternet"/>
          <w:sz w:val="24"/>
          <w:u w:val="none"/>
          <w:b w:val="false"/>
          <w:szCs w:val="24"/>
          <w:bCs w:val="false"/>
          <w:rFonts w:eastAsia="Times New Roman" w:cs="Times New Roman" w:ascii="Times New Roman" w:hAnsi="Times New Roman"/>
          <w:color w:val="000000"/>
        </w:rPr>
        <w:fldChar w:fldCharType="separate"/>
      </w:r>
      <w:r>
        <w:rPr>
          <w:rStyle w:val="LinkdaInternet"/>
          <w:rFonts w:eastAsia="Times New Roman" w:cs="Times New Roman" w:ascii="Times New Roman" w:hAnsi="Times New Roman"/>
          <w:b w:val="false"/>
          <w:bCs w:val="false"/>
          <w:color w:val="000000"/>
          <w:sz w:val="24"/>
          <w:szCs w:val="24"/>
          <w:u w:val="none"/>
        </w:rPr>
        <w:t>artigos 96 e seguintes da Lei nº 14.133, de 2021</w:t>
      </w:r>
      <w:r>
        <w:rPr>
          <w:rStyle w:val="LinkdaInternet"/>
          <w:sz w:val="24"/>
          <w:u w:val="none"/>
          <w:b w:val="false"/>
          <w:szCs w:val="24"/>
          <w:bCs w:val="false"/>
          <w:rFonts w:eastAsia="Times New Roman" w:cs="Times New Roman" w:ascii="Times New Roman" w:hAnsi="Times New Roman"/>
          <w:color w:val="000000"/>
        </w:rPr>
        <w:fldChar w:fldCharType="end"/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4"/>
          <w:szCs w:val="24"/>
        </w:rPr>
        <w:t>.</w:t>
      </w:r>
    </w:p>
    <w:p>
      <w:pPr>
        <w:pStyle w:val="Nvel1SemNumPreto"/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76" w:before="0" w:after="0"/>
        <w:jc w:val="both"/>
        <w:rPr/>
      </w:pPr>
      <w:r>
        <w:rPr>
          <w:rFonts w:eastAsia="Verdana" w:cs="Times New Roman"/>
          <w:b/>
          <w:bCs/>
          <w:color w:val="000000"/>
          <w:sz w:val="24"/>
          <w:szCs w:val="24"/>
          <w:lang w:val="pt-BR" w:eastAsia="zh-CN" w:bidi="ar-SA"/>
        </w:rPr>
        <w:t>6</w:t>
      </w:r>
      <w:r>
        <w:rPr>
          <w:rFonts w:eastAsia="Verdana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eastAsia="Verdana" w:cs="Times New Roman"/>
          <w:b/>
          <w:bCs/>
          <w:color w:val="000000"/>
          <w:sz w:val="24"/>
          <w:szCs w:val="24"/>
          <w:lang w:val="pt-BR" w:eastAsia="zh-CN" w:bidi="ar-SA"/>
        </w:rPr>
        <w:t>REQUISITOS DA CONTRATAÇÃO</w:t>
      </w:r>
    </w:p>
    <w:p>
      <w:pPr>
        <w:pStyle w:val="Corpodotexto"/>
        <w:bidi w:val="0"/>
        <w:spacing w:lineRule="auto" w:line="276" w:before="0" w:after="198"/>
        <w:ind w:left="0" w:right="0" w:hanging="0"/>
        <w:jc w:val="both"/>
        <w:rPr>
          <w:rFonts w:ascii="Times New Roman" w:hAnsi="Times New Roman" w:eastAsia="Verdana" w:cs="Times New Roman"/>
          <w:b w:val="false"/>
          <w:b w:val="false"/>
          <w:bCs w:val="false"/>
          <w:color w:val="auto"/>
          <w:sz w:val="24"/>
          <w:szCs w:val="24"/>
          <w:lang w:val="pt-BR" w:eastAsia="zh-CN" w:bidi="ar-SA"/>
        </w:rPr>
      </w:pPr>
      <w:r>
        <w:rPr>
          <w:rFonts w:eastAsia="Verdana" w:cs="Times New Roman"/>
          <w:b w:val="false"/>
          <w:bCs w:val="false"/>
          <w:color w:val="auto"/>
          <w:sz w:val="24"/>
          <w:szCs w:val="24"/>
          <w:lang w:val="pt-BR" w:eastAsia="zh-CN" w:bidi="ar-SA"/>
        </w:rPr>
        <w:t>As especificações abaixo foram baseadas no Documento de Formalização de Demanda, podendo sujeitar-se a modificações / adaptações a depender da escolha definitiva das soluções.</w:t>
      </w:r>
    </w:p>
    <w:p>
      <w:pPr>
        <w:pStyle w:val="Corpodotexto"/>
        <w:bidi w:val="0"/>
        <w:spacing w:lineRule="auto" w:line="276" w:before="0" w:after="198"/>
        <w:ind w:left="0" w:right="0" w:hanging="0"/>
        <w:jc w:val="both"/>
        <w:rPr>
          <w:rFonts w:ascii="Times New Roman" w:hAnsi="Times New Roman" w:eastAsia="Verdana" w:cs="Times New Roman"/>
          <w:b w:val="false"/>
          <w:b w:val="false"/>
          <w:bCs w:val="false"/>
          <w:color w:val="auto"/>
          <w:sz w:val="24"/>
          <w:szCs w:val="24"/>
          <w:lang w:val="pt-BR" w:eastAsia="zh-CN" w:bidi="ar-SA"/>
        </w:rPr>
      </w:pPr>
      <w:r>
        <w:rPr>
          <w:rFonts w:eastAsia="Verdana" w:cs="Times New Roman"/>
          <w:b w:val="false"/>
          <w:bCs w:val="false"/>
          <w:color w:val="auto"/>
          <w:sz w:val="24"/>
          <w:szCs w:val="24"/>
          <w:lang w:val="pt-BR" w:eastAsia="zh-CN" w:bidi="ar-SA"/>
        </w:rPr>
        <w:t>6.1 A contratação deverá observar os seguintes requisitos:</w:t>
      </w:r>
    </w:p>
    <w:p>
      <w:pPr>
        <w:pStyle w:val="Normal"/>
        <w:numPr>
          <w:ilvl w:val="0"/>
          <w:numId w:val="2"/>
        </w:numPr>
        <w:tabs>
          <w:tab w:val="clear" w:pos="720"/>
          <w:tab w:val="left" w:pos="206" w:leader="none"/>
          <w:tab w:val="left" w:pos="563" w:leader="none"/>
        </w:tabs>
        <w:suppressAutoHyphens w:val="false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Não haverá danos ao meio ambiente, uma vez que a contratação não gerará tal problema para a Autarquia.</w:t>
      </w:r>
    </w:p>
    <w:p>
      <w:pPr>
        <w:pStyle w:val="Normal"/>
        <w:numPr>
          <w:ilvl w:val="0"/>
          <w:numId w:val="2"/>
        </w:numPr>
        <w:tabs>
          <w:tab w:val="clear" w:pos="720"/>
          <w:tab w:val="left" w:pos="206" w:leader="none"/>
          <w:tab w:val="left" w:pos="563" w:leader="none"/>
        </w:tabs>
        <w:suppressAutoHyphens w:val="false"/>
        <w:spacing w:lineRule="auto" w:line="276"/>
        <w:jc w:val="both"/>
        <w:rPr/>
      </w:pPr>
      <w:r>
        <w:rPr>
          <w:rFonts w:cs="Times New Roman"/>
          <w:sz w:val="24"/>
          <w:szCs w:val="24"/>
        </w:rPr>
        <w:t>A contratação se dará por</w:t>
      </w:r>
      <w:r>
        <w:rPr>
          <w:rFonts w:cs="Times New Roman"/>
          <w:b/>
          <w:bCs/>
          <w:sz w:val="24"/>
          <w:szCs w:val="24"/>
        </w:rPr>
        <w:t xml:space="preserve"> dispensa de licitação</w:t>
      </w:r>
      <w:r>
        <w:rPr>
          <w:rFonts w:cs="Times New Roman"/>
          <w:sz w:val="24"/>
          <w:szCs w:val="24"/>
        </w:rPr>
        <w:t xml:space="preserve"> (sendo sagrado vencedor, o fornecedor que apresentar o </w:t>
      </w:r>
      <w:r>
        <w:rPr>
          <w:rFonts w:cs="Times New Roman"/>
          <w:b/>
          <w:bCs/>
          <w:sz w:val="24"/>
          <w:szCs w:val="24"/>
        </w:rPr>
        <w:t xml:space="preserve">menor valor </w:t>
      </w:r>
      <w:r>
        <w:rPr>
          <w:rFonts w:eastAsia="Times New Roman" w:cs="Times New Roman"/>
          <w:b/>
          <w:bCs/>
          <w:sz w:val="24"/>
          <w:szCs w:val="24"/>
        </w:rPr>
        <w:t xml:space="preserve">global </w:t>
      </w:r>
      <w:r>
        <w:rPr>
          <w:rFonts w:eastAsia="Times New Roman" w:cs="Times New Roman"/>
          <w:sz w:val="24"/>
          <w:szCs w:val="24"/>
        </w:rPr>
        <w:t xml:space="preserve">dos itens a serem </w:t>
      </w:r>
      <w:r>
        <w:rPr>
          <w:rFonts w:cs="Times New Roman"/>
          <w:sz w:val="24"/>
          <w:szCs w:val="24"/>
        </w:rPr>
        <w:t>adquiridos), com prestação dos serviços conforme estabelecido no instrumento contratual</w:t>
      </w:r>
      <w:r>
        <w:rPr>
          <w:rFonts w:eastAsia="Times New Roman" w:cs="Times New Roman"/>
          <w:sz w:val="24"/>
          <w:szCs w:val="24"/>
        </w:rPr>
        <w:t>.</w:t>
      </w:r>
    </w:p>
    <w:p>
      <w:pPr>
        <w:pStyle w:val="Normal"/>
        <w:numPr>
          <w:ilvl w:val="0"/>
          <w:numId w:val="2"/>
        </w:numPr>
        <w:tabs>
          <w:tab w:val="clear" w:pos="720"/>
          <w:tab w:val="left" w:pos="206" w:leader="none"/>
          <w:tab w:val="left" w:pos="563" w:leader="none"/>
        </w:tabs>
        <w:suppressAutoHyphens w:val="false"/>
        <w:spacing w:lineRule="auto" w:line="276"/>
        <w:jc w:val="both"/>
        <w:rPr>
          <w:rFonts w:ascii="Times New Roman" w:hAnsi="Times New Roman" w:cs="Times New Roman"/>
          <w:sz w:val="24"/>
          <w:szCs w:val="24"/>
          <w:shd w:fill="FFFFFF" w:val="clear"/>
        </w:rPr>
      </w:pPr>
      <w:r>
        <w:rPr>
          <w:rFonts w:cs="Times New Roman"/>
          <w:sz w:val="24"/>
          <w:szCs w:val="24"/>
          <w:shd w:fill="FFFFFF" w:val="clear"/>
        </w:rPr>
        <w:t>A contratação deverá obedecer, no que couber, ao disposto na Lei nº 14.133/2021 e suas alterações.</w:t>
      </w:r>
    </w:p>
    <w:p>
      <w:pPr>
        <w:pStyle w:val="Normal"/>
        <w:numPr>
          <w:ilvl w:val="0"/>
          <w:numId w:val="2"/>
        </w:numPr>
        <w:tabs>
          <w:tab w:val="clear" w:pos="720"/>
          <w:tab w:val="left" w:pos="206" w:leader="none"/>
          <w:tab w:val="left" w:pos="563" w:leader="none"/>
        </w:tabs>
        <w:suppressAutoHyphens w:val="false"/>
        <w:spacing w:lineRule="auto" w:line="276"/>
        <w:jc w:val="both"/>
        <w:rPr>
          <w:rFonts w:ascii="Times New Roman" w:hAnsi="Times New Roman" w:eastAsia="Arial" w:cs="Arial"/>
          <w:b w:val="false"/>
          <w:b w:val="false"/>
          <w:bCs w:val="false"/>
          <w:color w:val="000000"/>
          <w:sz w:val="24"/>
          <w:szCs w:val="24"/>
          <w:lang w:val="pt-BR" w:eastAsia="zh-CN" w:bidi="ar-SA"/>
        </w:rPr>
      </w:pPr>
      <w:r>
        <w:rPr>
          <w:rFonts w:eastAsia="Arial" w:cs="Arial"/>
          <w:b w:val="false"/>
          <w:bCs w:val="false"/>
          <w:color w:val="000000"/>
          <w:sz w:val="24"/>
          <w:szCs w:val="24"/>
          <w:lang w:val="pt-BR" w:eastAsia="zh-CN" w:bidi="ar-SA"/>
        </w:rPr>
        <w:t>Poderá ser concedido reequilíbrio econômico-financeiro mediante comprovação do contratado de que houve alteração dos valores dos produtos.</w:t>
      </w:r>
    </w:p>
    <w:p>
      <w:pPr>
        <w:pStyle w:val="Normal"/>
        <w:tabs>
          <w:tab w:val="clear" w:pos="720"/>
          <w:tab w:val="left" w:pos="206" w:leader="none"/>
          <w:tab w:val="left" w:pos="563" w:leader="none"/>
        </w:tabs>
        <w:suppressAutoHyphens w:val="false"/>
        <w:spacing w:lineRule="auto" w:line="276"/>
        <w:jc w:val="both"/>
        <w:rPr>
          <w:rFonts w:ascii="Times New Roman" w:hAnsi="Times New Roman" w:cs="Arial"/>
          <w:b w:val="false"/>
          <w:b w:val="false"/>
          <w:bCs w:val="false"/>
          <w:color w:val="000000"/>
          <w:sz w:val="24"/>
          <w:szCs w:val="24"/>
        </w:rPr>
      </w:pPr>
      <w:r>
        <w:rPr>
          <w:rFonts w:cs="Arial"/>
          <w:b w:val="false"/>
          <w:bCs w:val="false"/>
          <w:color w:val="000000"/>
          <w:sz w:val="24"/>
          <w:szCs w:val="24"/>
        </w:rPr>
      </w:r>
    </w:p>
    <w:p>
      <w:pPr>
        <w:pStyle w:val="Default"/>
        <w:spacing w:lineRule="auto" w:line="276"/>
        <w:jc w:val="both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7 - DO REGIME DE EXECUÇÃO DOS SERVIÇOS</w:t>
      </w:r>
    </w:p>
    <w:p>
      <w:pPr>
        <w:pStyle w:val="Default"/>
        <w:spacing w:lineRule="auto" w:line="276"/>
        <w:ind w:left="284" w:hanging="0"/>
        <w:jc w:val="both"/>
        <w:rPr>
          <w:rFonts w:ascii="Times New Roman" w:hAnsi="Times New Roman"/>
          <w:bCs/>
          <w:sz w:val="24"/>
          <w:szCs w:val="24"/>
        </w:rPr>
      </w:pPr>
      <w:r>
        <w:rPr>
          <w:bCs/>
          <w:sz w:val="24"/>
          <w:szCs w:val="24"/>
        </w:rPr>
      </w:r>
    </w:p>
    <w:p>
      <w:pPr>
        <w:pStyle w:val="Normal"/>
        <w:spacing w:lineRule="auto" w:line="276"/>
        <w:jc w:val="both"/>
        <w:rPr>
          <w:rFonts w:ascii="Times New Roman" w:hAnsi="Times New Roman" w:eastAsia="Courier New" w:cs="Arial"/>
          <w:sz w:val="24"/>
          <w:szCs w:val="24"/>
        </w:rPr>
      </w:pPr>
      <w:r>
        <w:rPr>
          <w:rFonts w:eastAsia="Courier New" w:cs="Arial"/>
          <w:sz w:val="24"/>
          <w:szCs w:val="24"/>
        </w:rPr>
        <w:t xml:space="preserve">7.1 - </w:t>
      </w:r>
      <w:r>
        <w:rPr>
          <w:rFonts w:eastAsia="Courier New" w:cs="Arial"/>
          <w:sz w:val="24"/>
          <w:szCs w:val="24"/>
        </w:rPr>
        <w:t>A prestação de serviços compreenderá as tarefas descritas nos itens nº 1.1 e 1.2 do presente Termo de Referência;</w:t>
      </w:r>
    </w:p>
    <w:p>
      <w:pPr>
        <w:pStyle w:val="Normal"/>
        <w:spacing w:lineRule="auto" w:line="276"/>
        <w:jc w:val="both"/>
        <w:rPr>
          <w:rFonts w:ascii="Times New Roman" w:hAnsi="Times New Roman" w:eastAsia="Courier New" w:cs="Arial"/>
          <w:sz w:val="24"/>
          <w:szCs w:val="24"/>
        </w:rPr>
      </w:pPr>
      <w:r>
        <w:rPr>
          <w:rFonts w:eastAsia="Courier New" w:cs="Arial"/>
          <w:sz w:val="24"/>
          <w:szCs w:val="24"/>
        </w:rPr>
      </w:r>
    </w:p>
    <w:p>
      <w:pPr>
        <w:pStyle w:val="Normal"/>
        <w:spacing w:lineRule="auto" w:line="276"/>
        <w:jc w:val="both"/>
        <w:rPr>
          <w:rFonts w:ascii="Times New Roman" w:hAnsi="Times New Roman" w:eastAsia="Courier New" w:cs="Arial"/>
          <w:sz w:val="24"/>
          <w:szCs w:val="24"/>
        </w:rPr>
      </w:pPr>
      <w:r>
        <w:rPr>
          <w:rFonts w:eastAsia="Courier New" w:cs="Arial"/>
          <w:sz w:val="24"/>
          <w:szCs w:val="24"/>
        </w:rPr>
      </w:r>
      <w:bookmarkStart w:id="5" w:name="page68R_mcid1"/>
      <w:bookmarkStart w:id="6" w:name="page68R_mcid1"/>
      <w:bookmarkEnd w:id="6"/>
    </w:p>
    <w:p>
      <w:pPr>
        <w:pStyle w:val="Normal"/>
        <w:spacing w:lineRule="auto" w:line="276"/>
        <w:jc w:val="both"/>
        <w:rPr>
          <w:rFonts w:ascii="Times New Roman" w:hAnsi="Times New Roman" w:cs="Arial"/>
          <w:b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>8. OBRIGAÇÕES DA CONTRATANTE</w:t>
      </w:r>
    </w:p>
    <w:p>
      <w:pPr>
        <w:pStyle w:val="Normal"/>
        <w:spacing w:lineRule="auto" w:line="276"/>
        <w:jc w:val="both"/>
        <w:rPr>
          <w:rFonts w:ascii="Times New Roman" w:hAnsi="Times New Roman" w:cs="Arial"/>
          <w:b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</w:r>
    </w:p>
    <w:p>
      <w:pPr>
        <w:pStyle w:val="Normal"/>
        <w:spacing w:lineRule="auto" w:line="276"/>
        <w:jc w:val="both"/>
        <w:rPr/>
      </w:pPr>
      <w:r>
        <w:rPr>
          <w:rFonts w:cs="Arial"/>
          <w:b/>
          <w:bCs/>
          <w:color w:val="000000"/>
          <w:sz w:val="24"/>
          <w:szCs w:val="24"/>
        </w:rPr>
        <w:t xml:space="preserve">8.1. </w:t>
      </w:r>
      <w:r>
        <w:rPr>
          <w:rFonts w:cs="Arial"/>
          <w:color w:val="000000"/>
          <w:sz w:val="24"/>
          <w:szCs w:val="24"/>
        </w:rPr>
        <w:t>Receber os itens no prazo e condições estabelecidas no Contrato, neste Termo de Referência e seus anexos.</w:t>
      </w:r>
    </w:p>
    <w:p>
      <w:pPr>
        <w:pStyle w:val="Normal"/>
        <w:spacing w:lineRule="auto" w:line="276" w:before="57" w:after="0"/>
        <w:jc w:val="both"/>
        <w:rPr/>
      </w:pPr>
      <w:r>
        <w:rPr>
          <w:rFonts w:cs="Arial"/>
          <w:b/>
          <w:bCs/>
          <w:color w:val="000000"/>
          <w:sz w:val="24"/>
          <w:szCs w:val="24"/>
        </w:rPr>
        <w:t xml:space="preserve">8.2. </w:t>
      </w:r>
      <w:bookmarkStart w:id="7" w:name="page68R_mcid17"/>
      <w:r>
        <w:rPr>
          <w:rFonts w:cs="Arial"/>
          <w:color w:val="000000"/>
          <w:sz w:val="24"/>
          <w:szCs w:val="24"/>
        </w:rPr>
        <w:t>Verificar minuciosamente, no prazo fixado, a conformidade dos bens recebidos provisoriamente com as especificações constantes neste Termo de Referência e da proposta, para fins de aceitação e recebimento definitivo.</w:t>
      </w:r>
    </w:p>
    <w:p>
      <w:pPr>
        <w:pStyle w:val="Normal"/>
        <w:spacing w:lineRule="auto" w:line="276" w:before="57" w:after="57"/>
        <w:jc w:val="both"/>
        <w:rPr/>
      </w:pPr>
      <w:r>
        <w:rPr>
          <w:rFonts w:cs="Arial"/>
          <w:b/>
          <w:bCs/>
          <w:color w:val="000000"/>
          <w:sz w:val="24"/>
          <w:szCs w:val="24"/>
        </w:rPr>
        <w:t>8.3.</w:t>
      </w:r>
      <w:r>
        <w:rPr>
          <w:rFonts w:cs="Arial"/>
          <w:color w:val="000000"/>
          <w:sz w:val="24"/>
          <w:szCs w:val="24"/>
        </w:rPr>
        <w:t xml:space="preserve"> Comunicar à Contratada, por escrito, sobre imperfeições, falhas ou irregularidades verificadas no objeto fornecido, para que seja substituído, reparado ou corrigido.</w:t>
      </w:r>
    </w:p>
    <w:p>
      <w:pPr>
        <w:pStyle w:val="Normal"/>
        <w:spacing w:lineRule="auto" w:line="276" w:before="57" w:after="57"/>
        <w:jc w:val="both"/>
        <w:rPr/>
      </w:pPr>
      <w:r>
        <w:rPr>
          <w:rFonts w:cs="Arial"/>
          <w:b/>
          <w:bCs/>
          <w:color w:val="000000"/>
          <w:sz w:val="24"/>
          <w:szCs w:val="24"/>
        </w:rPr>
        <w:t>8.4.</w:t>
      </w:r>
      <w:r>
        <w:rPr>
          <w:rFonts w:cs="Arial"/>
          <w:color w:val="000000"/>
          <w:sz w:val="24"/>
          <w:szCs w:val="24"/>
        </w:rPr>
        <w:t xml:space="preserve"> Acompanhar e fiscalizar o cumprimento das obrigações da Contratada, através de comissão/servidor especialmente designado.</w:t>
      </w:r>
    </w:p>
    <w:p>
      <w:pPr>
        <w:pStyle w:val="Normal"/>
        <w:spacing w:lineRule="auto" w:line="276" w:before="57" w:after="57"/>
        <w:jc w:val="both"/>
        <w:rPr/>
      </w:pPr>
      <w:r>
        <w:rPr>
          <w:rFonts w:cs="Arial"/>
          <w:b/>
          <w:bCs/>
          <w:color w:val="000000"/>
          <w:sz w:val="24"/>
          <w:szCs w:val="24"/>
        </w:rPr>
        <w:t>8.5.</w:t>
      </w:r>
      <w:r>
        <w:rPr>
          <w:rFonts w:cs="Arial"/>
          <w:color w:val="000000"/>
          <w:sz w:val="24"/>
          <w:szCs w:val="24"/>
        </w:rPr>
        <w:t xml:space="preserve"> Efetuar o pagamento à Contratada no valor correspondente ao fornecimento dos objetos, no prazo e forma estabelecidos no Contrato, neste Temo de Referência e seus anexos.</w:t>
      </w:r>
    </w:p>
    <w:p>
      <w:pPr>
        <w:pStyle w:val="Normal"/>
        <w:spacing w:lineRule="auto" w:line="276" w:before="57" w:after="57"/>
        <w:jc w:val="both"/>
        <w:rPr/>
      </w:pPr>
      <w:r>
        <w:rPr>
          <w:rFonts w:cs="Arial"/>
          <w:b/>
          <w:bCs/>
          <w:color w:val="000000"/>
          <w:sz w:val="24"/>
          <w:szCs w:val="24"/>
        </w:rPr>
        <w:t>8.6.</w:t>
      </w:r>
      <w:r>
        <w:rPr>
          <w:rFonts w:cs="Arial"/>
          <w:color w:val="000000"/>
          <w:sz w:val="24"/>
          <w:szCs w:val="24"/>
        </w:rPr>
        <w:t xml:space="preserve"> A Autarquia não responderá por quaisquer compromissos assumidos pela Contratada com terceiros, ainda que vinculados à execução da presente aquisição, bem como por qualquer dano causado a terceiros em decorrência de ato da Contratada, de seus empregados, prepostos ou subordinados.</w:t>
      </w:r>
    </w:p>
    <w:p>
      <w:pPr>
        <w:pStyle w:val="Normal"/>
        <w:spacing w:lineRule="auto" w:line="276"/>
        <w:jc w:val="both"/>
        <w:rPr>
          <w:rFonts w:ascii="Times New Roman" w:hAnsi="Times New Roman" w:cs="Arial"/>
          <w:b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</w:r>
    </w:p>
    <w:p>
      <w:pPr>
        <w:pStyle w:val="Normal"/>
        <w:spacing w:lineRule="auto" w:line="276"/>
        <w:jc w:val="both"/>
        <w:rPr>
          <w:rFonts w:ascii="Times New Roman" w:hAnsi="Times New Roman" w:cs="Arial"/>
          <w:b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>9. OBRIGAÇÕES DA CONTRATADA</w:t>
      </w:r>
    </w:p>
    <w:p>
      <w:pPr>
        <w:pStyle w:val="Normal"/>
        <w:spacing w:lineRule="auto" w:line="276"/>
        <w:jc w:val="both"/>
        <w:rPr/>
      </w:pPr>
      <w:r>
        <w:rPr>
          <w:rFonts w:cs="Arial"/>
          <w:b/>
          <w:bCs/>
          <w:color w:val="000000"/>
          <w:sz w:val="24"/>
          <w:szCs w:val="24"/>
        </w:rPr>
        <w:t>9.1.</w:t>
      </w:r>
      <w:r>
        <w:rPr>
          <w:rFonts w:cs="Arial"/>
          <w:color w:val="000000"/>
          <w:sz w:val="24"/>
          <w:szCs w:val="24"/>
        </w:rPr>
        <w:t xml:space="preserve"> A Contratada deve cumprir todas as obrigações constantes no Contrato, neste Temo de Referência, seus anexos e sua proposta, assumindo como exclusivamente seus os riscos e as despesas decorrentes da boa e perfeita execução do objeto.</w:t>
      </w:r>
    </w:p>
    <w:p>
      <w:pPr>
        <w:pStyle w:val="Normal"/>
        <w:spacing w:lineRule="auto" w:line="276"/>
        <w:jc w:val="both"/>
        <w:rPr/>
      </w:pPr>
      <w:r>
        <w:rPr>
          <w:rFonts w:cs="Arial"/>
          <w:b/>
          <w:bCs/>
          <w:color w:val="000000"/>
          <w:sz w:val="24"/>
          <w:szCs w:val="24"/>
        </w:rPr>
        <w:t xml:space="preserve">9.2. </w:t>
      </w:r>
      <w:r>
        <w:rPr>
          <w:rFonts w:cs="Arial"/>
          <w:color w:val="000000"/>
          <w:sz w:val="24"/>
          <w:szCs w:val="24"/>
        </w:rPr>
        <w:t>Efetuar a entrega dos itens em perfeitas condições, conforme especificações, prazo e local constantes no Contrato, Termo de Referência e seus anexos, acompanhado da respectiva nota fiscal, na qual constarão as indicações referentes a: marca, fabricante, modelo, procedência e prazo de validade.</w:t>
      </w:r>
    </w:p>
    <w:p>
      <w:pPr>
        <w:pStyle w:val="Normal"/>
        <w:spacing w:lineRule="auto" w:line="276"/>
        <w:jc w:val="both"/>
        <w:rPr/>
      </w:pPr>
      <w:r>
        <w:rPr>
          <w:rFonts w:cs="Arial"/>
          <w:b/>
          <w:bCs/>
          <w:color w:val="000000"/>
          <w:sz w:val="24"/>
          <w:szCs w:val="24"/>
        </w:rPr>
        <w:t>9.3</w:t>
      </w:r>
      <w:r>
        <w:rPr>
          <w:rFonts w:cs="Arial"/>
          <w:color w:val="000000"/>
          <w:sz w:val="24"/>
          <w:szCs w:val="24"/>
        </w:rPr>
        <w:t>. Responsabilizar-se pelos vícios e danos decorrentes do objeto, de acordo com os artigos 12, 13 e 17 a 27, do Código de Defesa do Consumidor (Lei nº 8.078, de 1990).</w:t>
      </w:r>
    </w:p>
    <w:p>
      <w:pPr>
        <w:pStyle w:val="Normal"/>
        <w:spacing w:lineRule="auto" w:line="276"/>
        <w:jc w:val="both"/>
        <w:rPr/>
      </w:pPr>
      <w:r>
        <w:rPr>
          <w:rFonts w:cs="Arial"/>
          <w:b/>
          <w:bCs/>
          <w:color w:val="000000"/>
          <w:sz w:val="24"/>
          <w:szCs w:val="24"/>
        </w:rPr>
        <w:t xml:space="preserve">9.4. </w:t>
      </w:r>
      <w:r>
        <w:rPr>
          <w:rFonts w:cs="Arial"/>
          <w:color w:val="000000"/>
          <w:sz w:val="24"/>
          <w:szCs w:val="24"/>
        </w:rPr>
        <w:t>Substituir, reparar ou corrigir, às suas expensas, no prazo fixado no Contrato, neste Termo de Referência, o objeto com avarias ou defeitos.</w:t>
      </w:r>
    </w:p>
    <w:p>
      <w:pPr>
        <w:pStyle w:val="Normal"/>
        <w:spacing w:lineRule="auto" w:line="276"/>
        <w:jc w:val="both"/>
        <w:rPr/>
      </w:pPr>
      <w:r>
        <w:rPr>
          <w:rFonts w:cs="Arial"/>
          <w:b/>
          <w:bCs/>
          <w:color w:val="000000"/>
          <w:sz w:val="24"/>
          <w:szCs w:val="24"/>
        </w:rPr>
        <w:t xml:space="preserve">9.5. </w:t>
      </w:r>
      <w:r>
        <w:rPr>
          <w:rFonts w:cs="Arial"/>
          <w:color w:val="000000"/>
          <w:sz w:val="24"/>
          <w:szCs w:val="24"/>
        </w:rPr>
        <w:t>Comunicar à Contratante, no prazo máximo de 72 (setenta e duas) horas que antecede a data da entrega, os motivos que impossibilitem o cumprimento do prazo previsto, com a devida comprovação.</w:t>
      </w:r>
    </w:p>
    <w:p>
      <w:pPr>
        <w:pStyle w:val="Normal"/>
        <w:spacing w:lineRule="auto" w:line="276"/>
        <w:jc w:val="both"/>
        <w:rPr/>
      </w:pPr>
      <w:r>
        <w:rPr>
          <w:rFonts w:cs="Arial"/>
          <w:b/>
          <w:bCs/>
          <w:color w:val="000000"/>
          <w:sz w:val="24"/>
          <w:szCs w:val="24"/>
        </w:rPr>
        <w:t xml:space="preserve">9.6. </w:t>
      </w:r>
      <w:r>
        <w:rPr>
          <w:rFonts w:cs="Arial"/>
          <w:color w:val="000000"/>
          <w:sz w:val="24"/>
          <w:szCs w:val="24"/>
        </w:rPr>
        <w:t>Manter, durante toda a execução do contrato, em compatibilidade com as obrigações assumidas, todas as condições de habilitação e qualificação exigidas na dispensa de licitação.</w:t>
      </w:r>
    </w:p>
    <w:p>
      <w:pPr>
        <w:pStyle w:val="Normal"/>
        <w:tabs>
          <w:tab w:val="clear" w:pos="720"/>
          <w:tab w:val="left" w:pos="0" w:leader="none"/>
        </w:tabs>
        <w:spacing w:lineRule="auto" w:line="276"/>
        <w:jc w:val="both"/>
        <w:rPr/>
      </w:pPr>
      <w:r>
        <w:rPr>
          <w:rFonts w:cs="Arial"/>
          <w:b/>
          <w:bCs/>
          <w:color w:val="000000"/>
          <w:sz w:val="24"/>
          <w:szCs w:val="24"/>
        </w:rPr>
        <w:t xml:space="preserve">9.7. </w:t>
      </w:r>
      <w:r>
        <w:rPr>
          <w:rFonts w:cs="Arial"/>
          <w:color w:val="000000"/>
          <w:sz w:val="24"/>
          <w:szCs w:val="24"/>
        </w:rPr>
        <w:t>Indicar preposto para representá-la.</w:t>
      </w:r>
    </w:p>
    <w:p>
      <w:pPr>
        <w:pStyle w:val="Normal"/>
        <w:tabs>
          <w:tab w:val="clear" w:pos="720"/>
          <w:tab w:val="left" w:pos="0" w:leader="none"/>
        </w:tabs>
        <w:spacing w:lineRule="auto" w:line="276"/>
        <w:jc w:val="both"/>
        <w:rPr/>
      </w:pPr>
      <w:r>
        <w:rPr>
          <w:rFonts w:cs="Arial"/>
          <w:b/>
          <w:bCs/>
          <w:color w:val="000000"/>
          <w:sz w:val="24"/>
          <w:szCs w:val="24"/>
        </w:rPr>
        <w:t xml:space="preserve">9.8. </w:t>
      </w:r>
      <w:r>
        <w:rPr>
          <w:rFonts w:cs="Arial"/>
          <w:color w:val="000000"/>
          <w:sz w:val="24"/>
          <w:szCs w:val="24"/>
        </w:rPr>
        <w:t>A CONTRATADA será responsável pela observância das leis, decretos, regulamentos, portarias e normas federais, estaduais e municipais direta e indiretamente aplicáveis ao objeto do contrato.</w:t>
      </w:r>
    </w:p>
    <w:p>
      <w:pPr>
        <w:pStyle w:val="Normal"/>
        <w:tabs>
          <w:tab w:val="clear" w:pos="720"/>
          <w:tab w:val="left" w:pos="0" w:leader="none"/>
        </w:tabs>
        <w:spacing w:lineRule="auto" w:line="276"/>
        <w:jc w:val="both"/>
        <w:rPr/>
      </w:pPr>
      <w:r>
        <w:rPr>
          <w:rFonts w:cs="Arial"/>
          <w:b/>
          <w:bCs/>
          <w:color w:val="000000"/>
          <w:sz w:val="24"/>
          <w:szCs w:val="24"/>
        </w:rPr>
        <w:t>9.9</w:t>
      </w:r>
      <w:r>
        <w:rPr>
          <w:rFonts w:cs="Arial"/>
          <w:color w:val="000000"/>
          <w:sz w:val="24"/>
          <w:szCs w:val="24"/>
        </w:rPr>
        <w:t>. Durante a execução do Contrato, a CONTRATADA deverá:</w:t>
      </w:r>
    </w:p>
    <w:p>
      <w:pPr>
        <w:pStyle w:val="Normal"/>
        <w:tabs>
          <w:tab w:val="clear" w:pos="720"/>
          <w:tab w:val="left" w:pos="0" w:leader="none"/>
        </w:tabs>
        <w:spacing w:lineRule="auto" w:line="276"/>
        <w:jc w:val="both"/>
        <w:rPr/>
      </w:pPr>
      <w:r>
        <w:rPr>
          <w:rFonts w:cs="Arial"/>
          <w:b/>
          <w:bCs/>
          <w:color w:val="000000"/>
          <w:sz w:val="24"/>
          <w:szCs w:val="24"/>
        </w:rPr>
        <w:t xml:space="preserve">9.9.1. </w:t>
      </w:r>
      <w:r>
        <w:rPr>
          <w:rFonts w:cs="Arial"/>
          <w:color w:val="000000"/>
          <w:sz w:val="24"/>
          <w:szCs w:val="24"/>
        </w:rPr>
        <w:t>Atender prontamente às solicitações do CONTRATANTE, no fornecimento dos objetos nas quantidades e especificações no Contrato e deste Temo de Referência.</w:t>
      </w:r>
    </w:p>
    <w:p>
      <w:pPr>
        <w:pStyle w:val="Normal"/>
        <w:tabs>
          <w:tab w:val="clear" w:pos="720"/>
          <w:tab w:val="left" w:pos="0" w:leader="none"/>
        </w:tabs>
        <w:spacing w:lineRule="auto" w:line="276"/>
        <w:jc w:val="both"/>
        <w:rPr/>
      </w:pPr>
      <w:r>
        <w:rPr>
          <w:rFonts w:cs="Arial"/>
          <w:b/>
          <w:bCs/>
          <w:color w:val="000000"/>
          <w:sz w:val="24"/>
          <w:szCs w:val="24"/>
        </w:rPr>
        <w:t>9.9.2</w:t>
      </w:r>
      <w:r>
        <w:rPr>
          <w:rFonts w:cs="Arial"/>
          <w:color w:val="000000"/>
          <w:sz w:val="24"/>
          <w:szCs w:val="24"/>
        </w:rPr>
        <w:t>. Entregar os alimentos acondicionados adequadamente, em invólucro lacrado, de forma a permitir completa segurança durante o transporte, acompanhado de nota fiscal, discriminado o quantitativo do produto, de acordo com as especificações técnicas.</w:t>
      </w:r>
    </w:p>
    <w:p>
      <w:pPr>
        <w:pStyle w:val="Normal"/>
        <w:tabs>
          <w:tab w:val="clear" w:pos="720"/>
          <w:tab w:val="left" w:pos="0" w:leader="none"/>
        </w:tabs>
        <w:spacing w:lineRule="auto" w:line="276"/>
        <w:jc w:val="both"/>
        <w:rPr/>
      </w:pPr>
      <w:r>
        <w:rPr>
          <w:rFonts w:cs="Arial"/>
          <w:b/>
          <w:bCs/>
          <w:color w:val="000000"/>
          <w:sz w:val="24"/>
          <w:szCs w:val="24"/>
        </w:rPr>
        <w:t>9.9.3.</w:t>
      </w:r>
      <w:r>
        <w:rPr>
          <w:rFonts w:cs="Arial"/>
          <w:color w:val="000000"/>
          <w:sz w:val="24"/>
          <w:szCs w:val="24"/>
        </w:rPr>
        <w:t xml:space="preserve"> A nota fiscal deverá ser acompanhada pelas Certidões de Regularidades Fiscais.</w:t>
      </w:r>
      <w:r>
        <w:rPr>
          <w:sz w:val="24"/>
          <w:szCs w:val="24"/>
        </w:rPr>
        <w:br/>
      </w:r>
      <w:r>
        <w:rPr>
          <w:b/>
          <w:bCs/>
          <w:sz w:val="24"/>
          <w:szCs w:val="24"/>
        </w:rPr>
        <w:t>9</w:t>
      </w:r>
      <w:r>
        <w:rPr>
          <w:rFonts w:cs="Arial"/>
          <w:b/>
          <w:bCs/>
          <w:color w:val="000000"/>
          <w:sz w:val="24"/>
          <w:szCs w:val="24"/>
        </w:rPr>
        <w:t>.9.4.</w:t>
      </w:r>
      <w:r>
        <w:rPr>
          <w:rFonts w:cs="Arial"/>
          <w:color w:val="000000"/>
          <w:sz w:val="24"/>
          <w:szCs w:val="24"/>
        </w:rPr>
        <w:t xml:space="preserve"> Substituir quaisquer alimentos que não estejam dentro do padrão de qualidade, em bom estado de conservação, que apresente defeito ou não esteja em conformidade com as especificações da proposta apresentada.</w:t>
      </w:r>
    </w:p>
    <w:p>
      <w:pPr>
        <w:pStyle w:val="Normal"/>
        <w:spacing w:lineRule="auto" w:line="276"/>
        <w:jc w:val="both"/>
        <w:rPr/>
      </w:pPr>
      <w:r>
        <w:rPr>
          <w:rFonts w:cs="Arial"/>
          <w:b/>
          <w:bCs/>
          <w:color w:val="000000"/>
          <w:sz w:val="24"/>
          <w:szCs w:val="24"/>
        </w:rPr>
        <w:t>9.9.5.</w:t>
      </w:r>
      <w:bookmarkStart w:id="8" w:name="page68R_mcid202"/>
      <w:r>
        <w:rPr>
          <w:rFonts w:cs="Arial"/>
          <w:color w:val="000000"/>
          <w:sz w:val="24"/>
          <w:szCs w:val="24"/>
        </w:rPr>
        <w:t xml:space="preserve"> A Contratada deve cumprir todas as obrigações constantes no Contrato, neste Temo de Referência, seus anexos.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  <w:bookmarkStart w:id="9" w:name="page68R_mcid20"/>
      <w:bookmarkStart w:id="10" w:name="page68R_mcid201"/>
      <w:bookmarkStart w:id="11" w:name="page68R_mcid20"/>
      <w:bookmarkStart w:id="12" w:name="page68R_mcid201"/>
      <w:bookmarkEnd w:id="11"/>
      <w:bookmarkEnd w:id="12"/>
    </w:p>
    <w:p>
      <w:pPr>
        <w:pStyle w:val="Normal"/>
        <w:spacing w:lineRule="auto" w:line="276"/>
        <w:jc w:val="both"/>
        <w:rPr>
          <w:rFonts w:ascii="Times New Roman" w:hAnsi="Times New Roman" w:cs="Arial"/>
          <w:b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>10. DO CONTROLE E FISCALIZAÇÃO DA EXECUÇÃO</w:t>
      </w:r>
    </w:p>
    <w:p>
      <w:pPr>
        <w:pStyle w:val="Normal"/>
        <w:spacing w:lineRule="auto" w:line="276"/>
        <w:jc w:val="both"/>
        <w:rPr/>
      </w:pPr>
      <w:r>
        <w:rPr>
          <w:rFonts w:cs="Arial"/>
          <w:b/>
          <w:bCs/>
          <w:color w:val="000000"/>
          <w:sz w:val="24"/>
          <w:szCs w:val="24"/>
        </w:rPr>
        <w:t xml:space="preserve">10.1. </w:t>
      </w:r>
      <w:r>
        <w:rPr>
          <w:rFonts w:cs="Arial"/>
          <w:b w:val="false"/>
          <w:bCs w:val="false"/>
          <w:color w:val="000000"/>
          <w:sz w:val="24"/>
          <w:szCs w:val="24"/>
        </w:rPr>
        <w:t xml:space="preserve">Fica designado o senhor Cleyton Marques de Oliveira, Diretor Administrativo-Financeiro, como Fiscal do Contrato, e responsável pelo acompanhamento e fiscalização da </w:t>
      </w:r>
      <w:r>
        <w:rPr>
          <w:rFonts w:cs="Arial"/>
          <w:color w:val="000000"/>
          <w:sz w:val="24"/>
          <w:szCs w:val="24"/>
        </w:rPr>
        <w:t>entrega dos itens objeto da contratação, anotando em registro próprio todas as ocorrências relacionadas com a execução e determinando o que for necessário à regularização de falhas ou defeitos observados.</w:t>
      </w:r>
    </w:p>
    <w:p>
      <w:pPr>
        <w:pStyle w:val="Normal"/>
        <w:spacing w:lineRule="auto" w:line="276"/>
        <w:jc w:val="both"/>
        <w:rPr/>
      </w:pPr>
      <w:r>
        <w:rPr>
          <w:rFonts w:cs="Arial"/>
          <w:b/>
          <w:bCs/>
          <w:color w:val="000000"/>
          <w:sz w:val="24"/>
          <w:szCs w:val="24"/>
        </w:rPr>
        <w:t>10.2.</w:t>
      </w:r>
      <w:r>
        <w:rPr>
          <w:rFonts w:cs="Arial"/>
          <w:color w:val="000000"/>
          <w:sz w:val="24"/>
          <w:szCs w:val="24"/>
        </w:rPr>
        <w:t xml:space="preserve"> A fiscalização de que trata este item não exclui nem reduz a responsabilidade da Contratada, inclusive perante terceiros, por qualquer irregularidade, ainda que resultante de imperfeições técnicas ou vícios redibitórios, e na ocorrência desta, não implica responsabilidade da Autarquia ou de seus agentes e prepostos, de conformidade com a Lei n.º 14.133/2021.</w:t>
      </w:r>
    </w:p>
    <w:p>
      <w:pPr>
        <w:pStyle w:val="Normal"/>
        <w:spacing w:lineRule="auto" w:line="276"/>
        <w:jc w:val="both"/>
        <w:rPr/>
      </w:pPr>
      <w:r>
        <w:rPr>
          <w:rFonts w:cs="Arial"/>
          <w:b/>
          <w:bCs/>
          <w:color w:val="000000"/>
          <w:sz w:val="24"/>
          <w:szCs w:val="24"/>
        </w:rPr>
        <w:t>10.3</w:t>
      </w:r>
      <w:r>
        <w:rPr>
          <w:rFonts w:cs="Arial"/>
          <w:color w:val="000000"/>
          <w:sz w:val="24"/>
          <w:szCs w:val="24"/>
        </w:rPr>
        <w:t xml:space="preserve">. O Fiscal do Contrato anotará em registro próprio todas as ocorrências relacionadas com a execução contratual, indicando dia, mês e ano, bem como o nome dos funcionários eventualmente envolvidos, determinando o que for necessário à regularização das falhas ou </w:t>
      </w:r>
      <w:r>
        <w:rPr>
          <w:sz w:val="24"/>
          <w:szCs w:val="24"/>
        </w:rPr>
        <w:t>defeitos observados e encaminhando os apontamentos à autoridade competente para as providências cabíveis.</w:t>
      </w:r>
    </w:p>
    <w:p>
      <w:pPr>
        <w:pStyle w:val="Normal"/>
        <w:spacing w:lineRule="auto" w:line="276"/>
        <w:jc w:val="both"/>
        <w:rPr>
          <w:rFonts w:ascii="Times New Roman" w:hAnsi="Times New Roman" w:cs="Arial"/>
          <w:b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</w:r>
    </w:p>
    <w:p>
      <w:pPr>
        <w:pStyle w:val="Normal"/>
        <w:spacing w:lineRule="auto" w:line="276"/>
        <w:jc w:val="both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11. CRITÉRIOS DE PAGAMENTO</w:t>
      </w:r>
    </w:p>
    <w:p>
      <w:pPr>
        <w:pStyle w:val="Normal"/>
        <w:spacing w:lineRule="auto" w:line="276"/>
        <w:jc w:val="both"/>
        <w:rPr/>
      </w:pPr>
      <w:r>
        <w:rPr>
          <w:b/>
          <w:bCs/>
          <w:sz w:val="24"/>
          <w:szCs w:val="24"/>
          <w:lang w:eastAsia="en-US"/>
        </w:rPr>
        <w:t>11.1.</w:t>
      </w:r>
      <w:r>
        <w:rPr>
          <w:sz w:val="24"/>
          <w:szCs w:val="24"/>
          <w:lang w:eastAsia="en-US"/>
        </w:rPr>
        <w:t xml:space="preserve"> Recebida a nota fiscal ou instrumento de cobrança equivalente, correrá o prazo de 10 (dez) dias para liquidação e pagamento da despesa, na forma desta seção, prorrogáveis por período não superior à metade do inicialmente estabelecido.</w:t>
      </w:r>
    </w:p>
    <w:p>
      <w:pPr>
        <w:pStyle w:val="Normal"/>
        <w:spacing w:lineRule="auto" w:line="276"/>
        <w:ind w:left="-22" w:hanging="0"/>
        <w:jc w:val="both"/>
        <w:rPr/>
      </w:pPr>
      <w:r>
        <w:rPr>
          <w:b/>
          <w:bCs/>
          <w:sz w:val="24"/>
          <w:szCs w:val="24"/>
          <w:shd w:fill="auto" w:val="clear"/>
        </w:rPr>
        <w:t>11.2.</w:t>
      </w:r>
      <w:r>
        <w:rPr>
          <w:sz w:val="24"/>
          <w:szCs w:val="24"/>
          <w:shd w:fill="auto" w:val="clear"/>
        </w:rPr>
        <w:t xml:space="preserve"> Para fins de liquidação, o setor competente deverá verificar se a </w:t>
      </w:r>
      <w:r>
        <w:rPr>
          <w:sz w:val="24"/>
          <w:szCs w:val="24"/>
          <w:shd w:fill="auto" w:val="clear"/>
          <w:lang w:eastAsia="en-US"/>
        </w:rPr>
        <w:t>nota fiscal ou instrumento de cobrança equivalente</w:t>
      </w:r>
      <w:r>
        <w:rPr>
          <w:sz w:val="24"/>
          <w:szCs w:val="24"/>
          <w:shd w:fill="auto" w:val="clear"/>
        </w:rPr>
        <w:t xml:space="preserve"> apresentada expressa os elementos necessários e essenciais do documento, tais como: </w:t>
      </w:r>
    </w:p>
    <w:p>
      <w:pPr>
        <w:pStyle w:val="Normal"/>
        <w:tabs>
          <w:tab w:val="clear" w:pos="720"/>
          <w:tab w:val="left" w:pos="563" w:leader="none"/>
        </w:tabs>
        <w:spacing w:lineRule="auto" w:line="276"/>
        <w:ind w:left="432" w:hanging="0"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sz w:val="24"/>
          <w:szCs w:val="24"/>
          <w:shd w:fill="auto" w:val="clear"/>
        </w:rPr>
        <w:t xml:space="preserve">- A data da emissão; </w:t>
      </w:r>
    </w:p>
    <w:p>
      <w:pPr>
        <w:pStyle w:val="Normal"/>
        <w:tabs>
          <w:tab w:val="clear" w:pos="720"/>
          <w:tab w:val="left" w:pos="563" w:leader="none"/>
        </w:tabs>
        <w:spacing w:lineRule="auto" w:line="276"/>
        <w:ind w:left="432" w:hanging="0"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sz w:val="24"/>
          <w:szCs w:val="24"/>
          <w:shd w:fill="auto" w:val="clear"/>
        </w:rPr>
        <w:t xml:space="preserve">- Os dados do contrato e do órgão contratante; </w:t>
      </w:r>
    </w:p>
    <w:p>
      <w:pPr>
        <w:pStyle w:val="Normal"/>
        <w:tabs>
          <w:tab w:val="clear" w:pos="720"/>
          <w:tab w:val="left" w:pos="563" w:leader="none"/>
        </w:tabs>
        <w:spacing w:lineRule="auto" w:line="276"/>
        <w:ind w:left="432" w:hanging="0"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sz w:val="24"/>
          <w:szCs w:val="24"/>
          <w:shd w:fill="auto" w:val="clear"/>
        </w:rPr>
        <w:t xml:space="preserve">- O período respectivo de execução do contrato; </w:t>
      </w:r>
    </w:p>
    <w:p>
      <w:pPr>
        <w:pStyle w:val="Normal"/>
        <w:tabs>
          <w:tab w:val="clear" w:pos="720"/>
          <w:tab w:val="left" w:pos="563" w:leader="none"/>
        </w:tabs>
        <w:spacing w:lineRule="auto" w:line="276"/>
        <w:ind w:left="432" w:hanging="0"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sz w:val="24"/>
          <w:szCs w:val="24"/>
          <w:shd w:fill="auto" w:val="clear"/>
        </w:rPr>
        <w:t xml:space="preserve">- O valor a pagar; e </w:t>
      </w:r>
    </w:p>
    <w:p>
      <w:pPr>
        <w:pStyle w:val="Normal"/>
        <w:tabs>
          <w:tab w:val="clear" w:pos="720"/>
          <w:tab w:val="left" w:pos="563" w:leader="none"/>
        </w:tabs>
        <w:spacing w:lineRule="auto" w:line="276"/>
        <w:ind w:left="432" w:hanging="0"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sz w:val="24"/>
          <w:szCs w:val="24"/>
          <w:shd w:fill="auto" w:val="clear"/>
        </w:rPr>
        <w:t>- Eventual destaque do valor de retenções tributárias cabíveis.</w:t>
      </w:r>
    </w:p>
    <w:p>
      <w:pPr>
        <w:pStyle w:val="Normal"/>
        <w:tabs>
          <w:tab w:val="clear" w:pos="720"/>
          <w:tab w:val="left" w:pos="563" w:leader="none"/>
        </w:tabs>
        <w:spacing w:lineRule="auto" w:line="276"/>
        <w:ind w:left="-22" w:hanging="0"/>
        <w:jc w:val="both"/>
        <w:rPr/>
      </w:pPr>
      <w:r>
        <w:rPr>
          <w:b/>
          <w:bCs/>
          <w:sz w:val="24"/>
          <w:szCs w:val="24"/>
        </w:rPr>
        <w:t>11.3.</w:t>
      </w:r>
      <w:r>
        <w:rPr>
          <w:sz w:val="24"/>
          <w:szCs w:val="24"/>
        </w:rPr>
        <w:t xml:space="preserve"> Havendo erro na apresentação da </w:t>
      </w:r>
      <w:r>
        <w:rPr>
          <w:sz w:val="24"/>
          <w:szCs w:val="24"/>
          <w:lang w:eastAsia="en-US"/>
        </w:rPr>
        <w:t>nota fiscal ou instrumento de cobrança equivalente</w:t>
      </w:r>
      <w:r>
        <w:rPr>
          <w:sz w:val="24"/>
          <w:szCs w:val="24"/>
        </w:rPr>
        <w:t>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>
      <w:pPr>
        <w:pStyle w:val="Normal"/>
        <w:tabs>
          <w:tab w:val="clear" w:pos="720"/>
          <w:tab w:val="left" w:pos="109" w:leader="none"/>
        </w:tabs>
        <w:spacing w:lineRule="auto" w:line="276"/>
        <w:ind w:left="-22" w:hanging="0"/>
        <w:jc w:val="both"/>
        <w:rPr/>
      </w:pPr>
      <w:r>
        <w:rPr>
          <w:b/>
          <w:bCs/>
          <w:sz w:val="24"/>
          <w:szCs w:val="24"/>
        </w:rPr>
        <w:t xml:space="preserve">11.4. </w:t>
      </w:r>
      <w:r>
        <w:rPr>
          <w:sz w:val="24"/>
          <w:szCs w:val="24"/>
        </w:rPr>
        <w:t>A</w:t>
      </w:r>
      <w:r>
        <w:rPr>
          <w:sz w:val="24"/>
          <w:szCs w:val="24"/>
          <w:lang w:eastAsia="en-US"/>
        </w:rPr>
        <w:t xml:space="preserve"> nota fiscal ou instrumento de cobrança equivalente deverá ser obrigatoriamente acompanhado da comprovação da regularidade fiscal</w:t>
      </w:r>
      <w:r>
        <w:rPr>
          <w:rStyle w:val="LinkdaInternet"/>
          <w:sz w:val="24"/>
          <w:szCs w:val="24"/>
          <w:lang w:eastAsia="en-US"/>
        </w:rPr>
        <w:t>.</w:t>
      </w:r>
    </w:p>
    <w:p>
      <w:pPr>
        <w:pStyle w:val="Normal"/>
        <w:spacing w:lineRule="auto" w:line="276"/>
        <w:ind w:left="-22" w:hanging="0"/>
        <w:jc w:val="both"/>
        <w:rPr/>
      </w:pPr>
      <w:r>
        <w:rPr>
          <w:b/>
          <w:bCs/>
          <w:sz w:val="24"/>
          <w:szCs w:val="24"/>
        </w:rPr>
        <w:t xml:space="preserve">11.5. </w:t>
      </w:r>
      <w:r>
        <w:rPr>
          <w:sz w:val="24"/>
          <w:szCs w:val="24"/>
        </w:rPr>
        <w:t>O pagamento será realizado por meio de depósito ou transferência em conta bancária indicada pelo fornecedor, ou meio de pagamento eletrônico, em chave cadastrada no CNPJ (PIX) da contratada.</w:t>
      </w:r>
    </w:p>
    <w:p>
      <w:pPr>
        <w:pStyle w:val="Normal"/>
        <w:spacing w:lineRule="auto" w:line="276"/>
        <w:ind w:left="-22" w:hanging="0"/>
        <w:jc w:val="both"/>
        <w:rPr/>
      </w:pPr>
      <w:r>
        <w:rPr>
          <w:b/>
          <w:bCs/>
          <w:sz w:val="24"/>
          <w:szCs w:val="24"/>
        </w:rPr>
        <w:t>11.6</w:t>
      </w:r>
      <w:r>
        <w:rPr>
          <w:sz w:val="24"/>
          <w:szCs w:val="24"/>
        </w:rPr>
        <w:t>. Quando do pagamento, será efetuada a retenção tributária prevista na legislação aplicável.</w:t>
      </w:r>
    </w:p>
    <w:p>
      <w:pPr>
        <w:pStyle w:val="Normal"/>
        <w:spacing w:lineRule="auto" w:line="276"/>
        <w:ind w:left="-22" w:hanging="0"/>
        <w:jc w:val="both"/>
        <w:rPr/>
      </w:pPr>
      <w:r>
        <w:rPr>
          <w:b/>
          <w:bCs/>
          <w:sz w:val="24"/>
          <w:szCs w:val="24"/>
          <w:lang w:eastAsia="en-US"/>
        </w:rPr>
        <w:t>11.7</w:t>
      </w:r>
      <w:r>
        <w:rPr>
          <w:sz w:val="24"/>
          <w:szCs w:val="24"/>
          <w:lang w:eastAsia="en-US"/>
        </w:rPr>
        <w:t xml:space="preserve">. O contratado regularmente optante pelo Simples Nacional, nos termos da </w:t>
      </w:r>
      <w:hyperlink r:id="rId2">
        <w:r>
          <w:rPr>
            <w:sz w:val="24"/>
            <w:szCs w:val="24"/>
            <w:lang w:eastAsia="en-US"/>
          </w:rPr>
          <w:t>Lei Complementar nº 123, de 2006</w:t>
        </w:r>
      </w:hyperlink>
      <w:r>
        <w:rPr>
          <w:sz w:val="24"/>
          <w:szCs w:val="24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>
      <w:pPr>
        <w:pStyle w:val="Normal"/>
        <w:spacing w:lineRule="auto" w:line="276"/>
        <w:ind w:left="-79" w:hanging="0"/>
        <w:jc w:val="both"/>
        <w:rPr/>
      </w:pPr>
      <w:r>
        <w:rPr>
          <w:b/>
          <w:bCs/>
          <w:sz w:val="24"/>
          <w:szCs w:val="24"/>
          <w:lang w:eastAsia="en-US"/>
        </w:rPr>
        <w:t>11.8</w:t>
      </w:r>
      <w:r>
        <w:rPr>
          <w:sz w:val="24"/>
          <w:szCs w:val="24"/>
          <w:lang w:eastAsia="en-US"/>
        </w:rPr>
        <w:t>. Conforme Decreto Municipal nº 3.686/2023 será retido o Imposto de Renda na Fonte nos pagamentos efetuados por Órgãos, Autarquias e Fundações instituídas e mantidas pelo Município de São Gabriel da Palha a pessoas jurídicas pelo fornecimento de bens e prestação de serviços.</w:t>
      </w:r>
    </w:p>
    <w:p>
      <w:pPr>
        <w:pStyle w:val="Normal"/>
        <w:spacing w:lineRule="auto" w:line="276"/>
        <w:ind w:left="-79" w:hanging="0"/>
        <w:jc w:val="both"/>
        <w:rPr/>
      </w:pPr>
      <w:r>
        <w:rPr>
          <w:b/>
          <w:bCs/>
          <w:color w:val="000000"/>
          <w:sz w:val="24"/>
          <w:szCs w:val="24"/>
        </w:rPr>
        <w:t xml:space="preserve">11.9. </w:t>
      </w:r>
      <w:r>
        <w:rPr>
          <w:sz w:val="24"/>
          <w:szCs w:val="24"/>
        </w:rPr>
        <w:t xml:space="preserve"> Após o prazo acima referenciado, será paga multa financeira nos seguintes termos:</w:t>
      </w:r>
    </w:p>
    <w:p>
      <w:pPr>
        <w:pStyle w:val="ListParagraph"/>
        <w:tabs>
          <w:tab w:val="clear" w:pos="720"/>
          <w:tab w:val="left" w:pos="518" w:leader="none"/>
        </w:tabs>
        <w:spacing w:lineRule="auto" w:line="276"/>
        <w:ind w:left="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ListParagraph"/>
        <w:tabs>
          <w:tab w:val="clear" w:pos="720"/>
          <w:tab w:val="left" w:pos="518" w:leader="none"/>
        </w:tabs>
        <w:spacing w:lineRule="auto" w:line="276"/>
        <w:ind w:left="0" w:hanging="0"/>
        <w:jc w:val="center"/>
        <w:rPr/>
      </w:pPr>
      <w:r>
        <w:rPr>
          <w:rFonts w:cs="Verdana" w:ascii="Times New Roman" w:hAnsi="Times New Roman"/>
          <w:sz w:val="24"/>
          <w:szCs w:val="24"/>
        </w:rPr>
        <w:t xml:space="preserve">VM = VF </w:t>
      </w:r>
      <w:r>
        <w:rPr>
          <w:rFonts w:cs="Verdana" w:ascii="Times New Roman" w:hAnsi="Times New Roman"/>
          <w:sz w:val="24"/>
          <w:szCs w:val="24"/>
          <w:vertAlign w:val="subscript"/>
        </w:rPr>
        <w:t>*</w:t>
      </w:r>
      <w:r>
        <w:rPr>
          <w:rFonts w:cs="Verdana" w:ascii="Times New Roman" w:hAnsi="Times New Roman"/>
          <w:sz w:val="24"/>
          <w:szCs w:val="24"/>
        </w:rPr>
        <w:t xml:space="preserve"> </w:t>
      </w:r>
      <w:r>
        <w:rPr>
          <w:rFonts w:cs="Verdana" w:ascii="Times New Roman" w:hAnsi="Times New Roman"/>
          <w:sz w:val="24"/>
          <w:szCs w:val="24"/>
          <w:u w:val="single"/>
        </w:rPr>
        <w:t>0,33</w:t>
      </w:r>
      <w:r>
        <w:rPr>
          <w:rFonts w:cs="Verdana" w:ascii="Times New Roman" w:hAnsi="Times New Roman"/>
          <w:sz w:val="24"/>
          <w:szCs w:val="24"/>
        </w:rPr>
        <w:t xml:space="preserve"> </w:t>
      </w:r>
      <w:r>
        <w:rPr>
          <w:rFonts w:cs="Verdana" w:ascii="Times New Roman" w:hAnsi="Times New Roman"/>
          <w:sz w:val="24"/>
          <w:szCs w:val="24"/>
          <w:vertAlign w:val="subscript"/>
        </w:rPr>
        <w:t>*</w:t>
      </w:r>
      <w:r>
        <w:rPr>
          <w:rFonts w:cs="Verdana" w:ascii="Times New Roman" w:hAnsi="Times New Roman"/>
          <w:sz w:val="24"/>
          <w:szCs w:val="24"/>
        </w:rPr>
        <w:t xml:space="preserve"> ND</w:t>
      </w:r>
    </w:p>
    <w:p>
      <w:pPr>
        <w:pStyle w:val="ListParagraph"/>
        <w:tabs>
          <w:tab w:val="clear" w:pos="720"/>
          <w:tab w:val="left" w:pos="518" w:leader="none"/>
        </w:tabs>
        <w:spacing w:lineRule="auto" w:line="276"/>
        <w:ind w:left="0" w:hanging="0"/>
        <w:jc w:val="center"/>
        <w:rPr/>
      </w:pPr>
      <w:r>
        <w:rPr>
          <w:rFonts w:eastAsia="Verdana" w:cs="Verdana" w:ascii="Times New Roman" w:hAnsi="Times New Roman"/>
          <w:sz w:val="24"/>
          <w:szCs w:val="24"/>
        </w:rPr>
        <w:t xml:space="preserve">        </w:t>
      </w:r>
      <w:r>
        <w:rPr>
          <w:rFonts w:cs="Verdana" w:ascii="Times New Roman" w:hAnsi="Times New Roman"/>
          <w:sz w:val="24"/>
          <w:szCs w:val="24"/>
        </w:rPr>
        <w:t>100</w:t>
      </w:r>
    </w:p>
    <w:p>
      <w:pPr>
        <w:pStyle w:val="Normal"/>
        <w:suppressAutoHyphens w:val="false"/>
        <w:spacing w:lineRule="auto" w:line="276"/>
        <w:rPr>
          <w:rFonts w:ascii="Times New Roman" w:hAnsi="Times New Roman"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  <w:t xml:space="preserve">Onde: </w:t>
      </w:r>
    </w:p>
    <w:p>
      <w:pPr>
        <w:pStyle w:val="Normal"/>
        <w:suppressAutoHyphens w:val="false"/>
        <w:spacing w:lineRule="auto" w:line="276"/>
        <w:rPr>
          <w:rFonts w:ascii="Times New Roman" w:hAnsi="Times New Roman"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  <w:t xml:space="preserve">VM = Valor da Multa Financeira; </w:t>
      </w:r>
    </w:p>
    <w:p>
      <w:pPr>
        <w:pStyle w:val="Normal"/>
        <w:suppressAutoHyphens w:val="false"/>
        <w:spacing w:lineRule="auto" w:line="276"/>
        <w:rPr>
          <w:rFonts w:ascii="Times New Roman" w:hAnsi="Times New Roman"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  <w:t xml:space="preserve">VF = Valor da Nota Fiscal; </w:t>
      </w:r>
    </w:p>
    <w:p>
      <w:pPr>
        <w:pStyle w:val="ListParagraph"/>
        <w:tabs>
          <w:tab w:val="clear" w:pos="720"/>
          <w:tab w:val="left" w:pos="518" w:leader="none"/>
        </w:tabs>
        <w:spacing w:lineRule="auto" w:line="276"/>
        <w:ind w:left="0" w:hanging="0"/>
        <w:rPr>
          <w:rFonts w:ascii="Times New Roman" w:hAnsi="Times New Roman" w:eastAsia="Times New Roman" w:cs="Arial"/>
          <w:color w:val="000000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</w:rPr>
        <w:t>ND = Número de dias em atraso.</w:t>
      </w:r>
    </w:p>
    <w:p>
      <w:pPr>
        <w:pStyle w:val="Normal"/>
        <w:suppressAutoHyphens w:val="false"/>
        <w:spacing w:lineRule="auto" w:line="276"/>
        <w:jc w:val="both"/>
        <w:rPr/>
      </w:pPr>
      <w:r>
        <w:rPr>
          <w:rFonts w:cs="Arial"/>
          <w:b/>
          <w:bCs/>
          <w:color w:val="000000"/>
          <w:sz w:val="24"/>
          <w:szCs w:val="24"/>
        </w:rPr>
        <w:t>11.10.</w:t>
      </w:r>
      <w:r>
        <w:rPr>
          <w:rFonts w:cs="Arial"/>
          <w:color w:val="000000"/>
          <w:sz w:val="24"/>
          <w:szCs w:val="24"/>
        </w:rPr>
        <w:t xml:space="preserve"> A NOTA FISCAL ELETRÔNICA deverá conter o mesmo CNPJ e razão social apresentados quando na proposta, assim como, o número da contratação, o (s) objeto (s), os valores unitários e totais.</w:t>
      </w:r>
    </w:p>
    <w:p>
      <w:pPr>
        <w:pStyle w:val="Normal"/>
        <w:suppressAutoHyphens w:val="false"/>
        <w:spacing w:lineRule="auto" w:line="276"/>
        <w:jc w:val="both"/>
        <w:rPr/>
      </w:pPr>
      <w:r>
        <w:rPr>
          <w:rFonts w:cs="Arial"/>
          <w:b/>
          <w:bCs/>
          <w:color w:val="000000"/>
          <w:sz w:val="24"/>
          <w:szCs w:val="24"/>
        </w:rPr>
        <w:t>11.11.</w:t>
      </w:r>
      <w:r>
        <w:rPr>
          <w:rFonts w:cs="Arial"/>
          <w:color w:val="000000"/>
          <w:sz w:val="24"/>
          <w:szCs w:val="24"/>
        </w:rPr>
        <w:t xml:space="preserve"> Qualquer alteração feita no contrato social, ato constitutivo ou estatuto deverá ser comunicado ao CONTRATANTE, mediante documentação própria, para apreciação da autoridade competente. </w:t>
      </w:r>
    </w:p>
    <w:p>
      <w:pPr>
        <w:pStyle w:val="Normal"/>
        <w:suppressAutoHyphens w:val="false"/>
        <w:spacing w:lineRule="auto" w:line="276"/>
        <w:jc w:val="both"/>
        <w:rPr/>
      </w:pPr>
      <w:r>
        <w:rPr>
          <w:rFonts w:cs="Arial"/>
          <w:b/>
          <w:bCs/>
          <w:color w:val="000000"/>
          <w:sz w:val="24"/>
          <w:szCs w:val="24"/>
        </w:rPr>
        <w:t>11.12.</w:t>
      </w:r>
      <w:r>
        <w:rPr>
          <w:rFonts w:cs="Arial"/>
          <w:color w:val="000000"/>
          <w:sz w:val="24"/>
          <w:szCs w:val="24"/>
        </w:rPr>
        <w:t xml:space="preserve"> O CONTRATANTE poderá deduzir do pagamento importâncias que a qualquer título lhe forem devidos pela empresa CONTRATADA, em decorrência de descumprimento de suas obrigações.</w:t>
      </w:r>
    </w:p>
    <w:p>
      <w:pPr>
        <w:pStyle w:val="Default"/>
        <w:spacing w:lineRule="auto" w:line="276"/>
        <w:ind w:left="-22" w:hanging="0"/>
        <w:jc w:val="both"/>
        <w:rPr/>
      </w:pPr>
      <w:r>
        <w:rPr>
          <w:rFonts w:cs="Arial"/>
          <w:b/>
          <w:bCs/>
          <w:sz w:val="24"/>
          <w:szCs w:val="24"/>
        </w:rPr>
        <w:t>11.13.</w:t>
      </w:r>
      <w:r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  <w:lang w:eastAsia="en-US"/>
        </w:rPr>
        <w:t xml:space="preserve">Para a efetivação do pagamento, a CONTRATADA manterá as </w:t>
      </w:r>
      <w:r>
        <w:rPr>
          <w:rFonts w:cs="Arial"/>
          <w:sz w:val="24"/>
          <w:szCs w:val="24"/>
          <w:lang w:eastAsia="pt-BR"/>
        </w:rPr>
        <w:t>condições relativas à proposta de preço e a habilitação;</w:t>
      </w:r>
    </w:p>
    <w:p>
      <w:pPr>
        <w:pStyle w:val="Default"/>
        <w:spacing w:lineRule="auto" w:line="276"/>
        <w:ind w:left="-22" w:hanging="0"/>
        <w:jc w:val="both"/>
        <w:rPr>
          <w:rFonts w:ascii="Times New Roman" w:hAnsi="Times New Roman" w:cs="Arial"/>
          <w:b/>
          <w:b/>
          <w:sz w:val="24"/>
          <w:szCs w:val="24"/>
          <w:u w:val="single"/>
        </w:rPr>
      </w:pPr>
      <w:r>
        <w:rPr>
          <w:rFonts w:cs="Arial"/>
          <w:b/>
          <w:sz w:val="24"/>
          <w:szCs w:val="24"/>
          <w:u w:val="single"/>
        </w:rPr>
      </w:r>
    </w:p>
    <w:p>
      <w:pPr>
        <w:pStyle w:val="Normal"/>
        <w:spacing w:lineRule="auto" w:line="276"/>
        <w:jc w:val="both"/>
        <w:rPr/>
      </w:pPr>
      <w:r>
        <w:rPr>
          <w:b/>
          <w:bCs/>
          <w:iCs/>
          <w:color w:val="000000"/>
          <w:sz w:val="24"/>
          <w:szCs w:val="24"/>
        </w:rPr>
        <w:t>12</w:t>
      </w:r>
      <w:r>
        <w:rPr>
          <w:b/>
          <w:bCs/>
          <w:iCs/>
          <w:sz w:val="24"/>
          <w:szCs w:val="24"/>
        </w:rPr>
        <w:t>. DAS SANÇÕES</w:t>
      </w:r>
    </w:p>
    <w:p>
      <w:pPr>
        <w:pStyle w:val="Normal"/>
        <w:spacing w:lineRule="auto" w:line="276"/>
        <w:jc w:val="both"/>
        <w:rPr/>
      </w:pPr>
      <w:r>
        <w:rPr>
          <w:b/>
          <w:bCs/>
          <w:iCs/>
          <w:color w:val="000000"/>
          <w:sz w:val="24"/>
          <w:szCs w:val="24"/>
        </w:rPr>
        <w:t>12</w:t>
      </w:r>
      <w:r>
        <w:rPr>
          <w:b/>
          <w:bCs/>
          <w:iCs/>
          <w:sz w:val="24"/>
          <w:szCs w:val="24"/>
        </w:rPr>
        <w:t>.1.</w:t>
      </w:r>
      <w:r>
        <w:rPr>
          <w:iCs/>
          <w:sz w:val="24"/>
          <w:szCs w:val="24"/>
        </w:rPr>
        <w:t xml:space="preserve"> Comete infração administrativa o fornecedor/prestador de serviço que cometer quaisquer das infrações previstas no art. 155 da Lei nº 14.133, de 2021, quais sejam:</w:t>
      </w:r>
    </w:p>
    <w:p>
      <w:pPr>
        <w:pStyle w:val="Normal"/>
        <w:spacing w:lineRule="auto" w:line="276"/>
        <w:jc w:val="both"/>
        <w:rPr/>
      </w:pPr>
      <w:r>
        <w:rPr>
          <w:b/>
          <w:bCs/>
          <w:iCs/>
          <w:color w:val="000000"/>
          <w:sz w:val="24"/>
          <w:szCs w:val="24"/>
        </w:rPr>
        <w:t>12</w:t>
      </w:r>
      <w:r>
        <w:rPr>
          <w:b/>
          <w:bCs/>
          <w:iCs/>
          <w:sz w:val="24"/>
          <w:szCs w:val="24"/>
        </w:rPr>
        <w:t>.1.1</w:t>
      </w:r>
      <w:r>
        <w:rPr>
          <w:iCs/>
          <w:sz w:val="24"/>
          <w:szCs w:val="24"/>
        </w:rPr>
        <w:t>. Dar causa à inexecução parcial do contrato.</w:t>
      </w:r>
    </w:p>
    <w:p>
      <w:pPr>
        <w:pStyle w:val="Normal"/>
        <w:spacing w:lineRule="auto" w:line="276"/>
        <w:jc w:val="both"/>
        <w:rPr/>
      </w:pPr>
      <w:r>
        <w:rPr>
          <w:b/>
          <w:bCs/>
          <w:iCs/>
          <w:color w:val="000000"/>
          <w:sz w:val="24"/>
          <w:szCs w:val="24"/>
        </w:rPr>
        <w:t>12</w:t>
      </w:r>
      <w:r>
        <w:rPr>
          <w:b/>
          <w:bCs/>
          <w:iCs/>
          <w:sz w:val="24"/>
          <w:szCs w:val="24"/>
        </w:rPr>
        <w:t>.1.2.</w:t>
      </w:r>
      <w:r>
        <w:rPr>
          <w:iCs/>
          <w:sz w:val="24"/>
          <w:szCs w:val="24"/>
        </w:rPr>
        <w:t xml:space="preserve"> Dar causa à inexecução parcial que cause grave dano à Autarquia, ao funcionamento dos serviços públicos ou ao interesse coletivo.</w:t>
      </w:r>
    </w:p>
    <w:p>
      <w:pPr>
        <w:pStyle w:val="Normal"/>
        <w:spacing w:lineRule="auto" w:line="276"/>
        <w:jc w:val="both"/>
        <w:rPr/>
      </w:pPr>
      <w:r>
        <w:rPr>
          <w:b/>
          <w:bCs/>
          <w:iCs/>
          <w:color w:val="000000"/>
          <w:sz w:val="24"/>
          <w:szCs w:val="24"/>
        </w:rPr>
        <w:t>12</w:t>
      </w:r>
      <w:r>
        <w:rPr>
          <w:b/>
          <w:bCs/>
          <w:iCs/>
          <w:sz w:val="24"/>
          <w:szCs w:val="24"/>
        </w:rPr>
        <w:t>.1.3.</w:t>
      </w:r>
      <w:r>
        <w:rPr>
          <w:iCs/>
          <w:sz w:val="24"/>
          <w:szCs w:val="24"/>
        </w:rPr>
        <w:t xml:space="preserve"> Dar causa à inexecução total;</w:t>
      </w:r>
    </w:p>
    <w:p>
      <w:pPr>
        <w:pStyle w:val="Normal"/>
        <w:spacing w:lineRule="auto" w:line="276"/>
        <w:jc w:val="both"/>
        <w:rPr/>
      </w:pPr>
      <w:r>
        <w:rPr>
          <w:b/>
          <w:bCs/>
          <w:iCs/>
          <w:color w:val="000000"/>
          <w:sz w:val="24"/>
          <w:szCs w:val="24"/>
        </w:rPr>
        <w:t>12</w:t>
      </w:r>
      <w:r>
        <w:rPr>
          <w:b/>
          <w:bCs/>
          <w:iCs/>
          <w:sz w:val="24"/>
          <w:szCs w:val="24"/>
        </w:rPr>
        <w:t>.1.4.</w:t>
      </w:r>
      <w:r>
        <w:rPr>
          <w:iCs/>
          <w:sz w:val="24"/>
          <w:szCs w:val="24"/>
        </w:rPr>
        <w:t xml:space="preserve"> Deixar de entregar a documentação exigida para o certame.</w:t>
      </w:r>
    </w:p>
    <w:p>
      <w:pPr>
        <w:pStyle w:val="Normal"/>
        <w:spacing w:lineRule="auto" w:line="276"/>
        <w:jc w:val="both"/>
        <w:rPr/>
      </w:pPr>
      <w:r>
        <w:rPr>
          <w:b/>
          <w:bCs/>
          <w:iCs/>
          <w:color w:val="000000"/>
          <w:sz w:val="24"/>
          <w:szCs w:val="24"/>
        </w:rPr>
        <w:t>12</w:t>
      </w:r>
      <w:r>
        <w:rPr>
          <w:b/>
          <w:bCs/>
          <w:iCs/>
          <w:sz w:val="24"/>
          <w:szCs w:val="24"/>
        </w:rPr>
        <w:t>.1.5.</w:t>
      </w:r>
      <w:r>
        <w:rPr>
          <w:iCs/>
          <w:sz w:val="24"/>
          <w:szCs w:val="24"/>
        </w:rPr>
        <w:t xml:space="preserve"> Não manter a proposta, salvo em decorrência de fato superveniente devidamente justificado.</w:t>
      </w:r>
    </w:p>
    <w:p>
      <w:pPr>
        <w:pStyle w:val="Normal"/>
        <w:spacing w:lineRule="auto" w:line="276"/>
        <w:jc w:val="both"/>
        <w:rPr/>
      </w:pPr>
      <w:r>
        <w:rPr>
          <w:b/>
          <w:bCs/>
          <w:iCs/>
          <w:color w:val="000000"/>
          <w:sz w:val="24"/>
          <w:szCs w:val="24"/>
        </w:rPr>
        <w:t>12</w:t>
      </w:r>
      <w:r>
        <w:rPr>
          <w:b/>
          <w:bCs/>
          <w:iCs/>
          <w:sz w:val="24"/>
          <w:szCs w:val="24"/>
        </w:rPr>
        <w:t>.1.6</w:t>
      </w:r>
      <w:r>
        <w:rPr>
          <w:iCs/>
          <w:sz w:val="24"/>
          <w:szCs w:val="24"/>
        </w:rPr>
        <w:t xml:space="preserve">. Não celebrar o contrato ou não entregar a documentação exigida para a contratação, quando convocado dentro do prazo de validade de sua proposta. </w:t>
      </w:r>
    </w:p>
    <w:p>
      <w:pPr>
        <w:pStyle w:val="Normal"/>
        <w:spacing w:lineRule="auto" w:line="276"/>
        <w:jc w:val="both"/>
        <w:rPr/>
      </w:pPr>
      <w:r>
        <w:rPr>
          <w:b/>
          <w:bCs/>
          <w:iCs/>
          <w:color w:val="000000"/>
          <w:sz w:val="24"/>
          <w:szCs w:val="24"/>
        </w:rPr>
        <w:t>12</w:t>
      </w:r>
      <w:r>
        <w:rPr>
          <w:b/>
          <w:bCs/>
          <w:iCs/>
          <w:sz w:val="24"/>
          <w:szCs w:val="24"/>
        </w:rPr>
        <w:t>.1.7.</w:t>
      </w:r>
      <w:r>
        <w:rPr>
          <w:iCs/>
          <w:sz w:val="24"/>
          <w:szCs w:val="24"/>
        </w:rPr>
        <w:t xml:space="preserve"> Ensejar o retardamento da execução ou da entrega do objeto sem motivo justificado;</w:t>
      </w:r>
    </w:p>
    <w:p>
      <w:pPr>
        <w:pStyle w:val="Normal"/>
        <w:spacing w:lineRule="auto" w:line="276"/>
        <w:jc w:val="both"/>
        <w:rPr/>
      </w:pPr>
      <w:r>
        <w:rPr>
          <w:b/>
          <w:bCs/>
          <w:iCs/>
          <w:color w:val="000000"/>
          <w:sz w:val="24"/>
          <w:szCs w:val="24"/>
        </w:rPr>
        <w:t>12</w:t>
      </w:r>
      <w:r>
        <w:rPr>
          <w:b/>
          <w:bCs/>
          <w:iCs/>
          <w:sz w:val="24"/>
          <w:szCs w:val="24"/>
        </w:rPr>
        <w:t>.1.8</w:t>
      </w:r>
      <w:r>
        <w:rPr>
          <w:iCs/>
          <w:sz w:val="24"/>
          <w:szCs w:val="24"/>
        </w:rPr>
        <w:t>. Apresentar declaração ou documentação falsa exigida para o certame ou prestar declaração falsa durante a dispensa física ou a execução do objeto.</w:t>
      </w:r>
    </w:p>
    <w:p>
      <w:pPr>
        <w:pStyle w:val="Normal"/>
        <w:spacing w:lineRule="auto" w:line="276"/>
        <w:jc w:val="both"/>
        <w:rPr/>
      </w:pPr>
      <w:r>
        <w:rPr>
          <w:b/>
          <w:bCs/>
          <w:iCs/>
          <w:sz w:val="24"/>
          <w:szCs w:val="24"/>
        </w:rPr>
        <w:t>12.1.9.</w:t>
      </w:r>
      <w:r>
        <w:rPr>
          <w:iCs/>
          <w:sz w:val="24"/>
          <w:szCs w:val="24"/>
        </w:rPr>
        <w:t xml:space="preserve"> Fraudar a dispensa física ou praticar ato fraudulento na execução do objeto.</w:t>
      </w:r>
    </w:p>
    <w:p>
      <w:pPr>
        <w:pStyle w:val="Normal"/>
        <w:spacing w:lineRule="auto" w:line="276"/>
        <w:jc w:val="both"/>
        <w:rPr/>
      </w:pPr>
      <w:r>
        <w:rPr>
          <w:b/>
          <w:bCs/>
          <w:iCs/>
          <w:color w:val="000000"/>
          <w:sz w:val="24"/>
          <w:szCs w:val="24"/>
        </w:rPr>
        <w:t>12</w:t>
      </w:r>
      <w:r>
        <w:rPr>
          <w:b/>
          <w:bCs/>
          <w:iCs/>
          <w:sz w:val="24"/>
          <w:szCs w:val="24"/>
        </w:rPr>
        <w:t>.1.10.</w:t>
      </w:r>
      <w:r>
        <w:rPr>
          <w:iCs/>
          <w:sz w:val="24"/>
          <w:szCs w:val="24"/>
        </w:rPr>
        <w:t xml:space="preserve"> Comportar-se de modo inidôneo ou cometer fraude de qualquer natureza.</w:t>
      </w:r>
    </w:p>
    <w:p>
      <w:pPr>
        <w:pStyle w:val="Normal"/>
        <w:spacing w:lineRule="auto" w:line="276"/>
        <w:jc w:val="both"/>
        <w:rPr/>
      </w:pPr>
      <w:r>
        <w:rPr>
          <w:b/>
          <w:bCs/>
          <w:iCs/>
          <w:color w:val="000000"/>
          <w:sz w:val="24"/>
          <w:szCs w:val="24"/>
        </w:rPr>
        <w:t>12</w:t>
      </w:r>
      <w:r>
        <w:rPr>
          <w:b/>
          <w:bCs/>
          <w:iCs/>
          <w:sz w:val="24"/>
          <w:szCs w:val="24"/>
        </w:rPr>
        <w:t>.1.10.1</w:t>
      </w:r>
      <w:r>
        <w:rPr>
          <w:iCs/>
          <w:sz w:val="24"/>
          <w:szCs w:val="24"/>
        </w:rPr>
        <w:t>. Considera-se comportamento inidôneo, entre outros, a declaração falsa quanto às condições de participação, quanto ao enquadramento como ME/EPP ou o conluio entre os fornecedores, em qualquer momento da dispensa, mesmo após o encerramento da fase de lances.</w:t>
      </w:r>
    </w:p>
    <w:p>
      <w:pPr>
        <w:pStyle w:val="Normal"/>
        <w:spacing w:lineRule="auto" w:line="276"/>
        <w:jc w:val="both"/>
        <w:rPr/>
      </w:pPr>
      <w:r>
        <w:rPr>
          <w:b/>
          <w:bCs/>
          <w:iCs/>
          <w:color w:val="000000"/>
          <w:sz w:val="24"/>
          <w:szCs w:val="24"/>
        </w:rPr>
        <w:t>12</w:t>
      </w:r>
      <w:r>
        <w:rPr>
          <w:b/>
          <w:bCs/>
          <w:iCs/>
          <w:sz w:val="24"/>
          <w:szCs w:val="24"/>
        </w:rPr>
        <w:t>.1.11.</w:t>
      </w:r>
      <w:r>
        <w:rPr>
          <w:iCs/>
          <w:sz w:val="24"/>
          <w:szCs w:val="24"/>
        </w:rPr>
        <w:t xml:space="preserve"> Praticar atos ilícitos com vistas a frustrar os objetivos deste certame.</w:t>
      </w:r>
    </w:p>
    <w:p>
      <w:pPr>
        <w:pStyle w:val="Normal"/>
        <w:spacing w:lineRule="auto" w:line="276"/>
        <w:jc w:val="both"/>
        <w:rPr/>
      </w:pPr>
      <w:r>
        <w:rPr>
          <w:b/>
          <w:bCs/>
          <w:iCs/>
          <w:color w:val="000000"/>
          <w:sz w:val="24"/>
          <w:szCs w:val="24"/>
        </w:rPr>
        <w:t>12</w:t>
      </w:r>
      <w:r>
        <w:rPr>
          <w:b/>
          <w:bCs/>
          <w:iCs/>
          <w:sz w:val="24"/>
          <w:szCs w:val="24"/>
        </w:rPr>
        <w:t>.1.12</w:t>
      </w:r>
      <w:r>
        <w:rPr>
          <w:iCs/>
          <w:sz w:val="24"/>
          <w:szCs w:val="24"/>
        </w:rPr>
        <w:t>. Praticar ato lesivo previsto no art. 5º da Lei nº 12.846, de 1º de agosto de 2013.</w:t>
      </w:r>
    </w:p>
    <w:p>
      <w:pPr>
        <w:pStyle w:val="Normal"/>
        <w:spacing w:lineRule="auto" w:line="276"/>
        <w:jc w:val="both"/>
        <w:rPr/>
      </w:pPr>
      <w:r>
        <w:rPr>
          <w:b/>
          <w:bCs/>
          <w:iCs/>
          <w:color w:val="000000"/>
          <w:sz w:val="24"/>
          <w:szCs w:val="24"/>
        </w:rPr>
        <w:t>12.1.13.</w:t>
      </w:r>
      <w:r>
        <w:rPr>
          <w:iCs/>
          <w:sz w:val="24"/>
          <w:szCs w:val="24"/>
        </w:rPr>
        <w:t xml:space="preserve"> O fornecedor que cometer qualquer das infrações discriminadas nos subitens anteriores ficará sujeito, sem prejuízo da responsabilidade civil e criminal, às seguintes sanções:</w:t>
      </w:r>
    </w:p>
    <w:p>
      <w:pPr>
        <w:pStyle w:val="Normal"/>
        <w:spacing w:lineRule="auto" w:line="276"/>
        <w:jc w:val="both"/>
        <w:rPr>
          <w:rFonts w:ascii="Times New Roman" w:hAnsi="Times New Roman"/>
          <w:iCs/>
          <w:sz w:val="24"/>
          <w:szCs w:val="24"/>
        </w:rPr>
      </w:pPr>
      <w:r>
        <w:rPr>
          <w:iCs/>
          <w:sz w:val="24"/>
          <w:szCs w:val="24"/>
        </w:rPr>
        <w:tab/>
        <w:t>a) Advertência pela falta do subitem 12.1.1 deste Termo de Referência, quando não se justificar a imposição de penalidade mais grave.</w:t>
      </w:r>
    </w:p>
    <w:p>
      <w:pPr>
        <w:pStyle w:val="Normal"/>
        <w:spacing w:lineRule="auto" w:line="276"/>
        <w:jc w:val="both"/>
        <w:rPr/>
      </w:pPr>
      <w:r>
        <w:rPr>
          <w:iCs/>
          <w:sz w:val="24"/>
          <w:szCs w:val="24"/>
        </w:rPr>
        <w:tab/>
        <w:t xml:space="preserve">b) Multa, calculada na forma do edital, com base no total do valor da contratação realizada de forma direta e será aplicada ao responsável por qualquer das infrações administrativas previstas no item 10.1 deste Termo de Referência, no percentual de 10% (dez por cento), na hipótese de cometimento das infrações previstas nos itens 12.1.1 a </w:t>
      </w:r>
      <w:r>
        <w:rPr>
          <w:iCs/>
          <w:color w:val="000000"/>
          <w:sz w:val="24"/>
          <w:szCs w:val="24"/>
        </w:rPr>
        <w:t>12</w:t>
      </w:r>
      <w:r>
        <w:rPr>
          <w:iCs/>
          <w:sz w:val="24"/>
          <w:szCs w:val="24"/>
        </w:rPr>
        <w:t>.1.7 e 20% (vinte por cento), se cometidas infrações previstas nos itens 12.1.8 a 12.1.12;</w:t>
      </w:r>
    </w:p>
    <w:p>
      <w:pPr>
        <w:pStyle w:val="Normal"/>
        <w:spacing w:lineRule="auto" w:line="276"/>
        <w:ind w:left="-57" w:hanging="0"/>
        <w:jc w:val="both"/>
        <w:rPr>
          <w:rFonts w:ascii="Times New Roman" w:hAnsi="Times New Roman"/>
          <w:iCs/>
          <w:sz w:val="24"/>
          <w:szCs w:val="24"/>
        </w:rPr>
      </w:pPr>
      <w:r>
        <w:rPr>
          <w:iCs/>
          <w:sz w:val="24"/>
          <w:szCs w:val="24"/>
        </w:rPr>
        <w:tab/>
        <w:tab/>
        <w:tab/>
        <w:t>b.1) O valor da multa poderá ser descontado das faturas devidas à CONTRATADA;</w:t>
      </w:r>
    </w:p>
    <w:p>
      <w:pPr>
        <w:pStyle w:val="Normal"/>
        <w:spacing w:lineRule="auto" w:line="276"/>
        <w:jc w:val="both"/>
        <w:rPr>
          <w:rFonts w:ascii="Times New Roman" w:hAnsi="Times New Roman"/>
          <w:iCs/>
          <w:sz w:val="24"/>
          <w:szCs w:val="24"/>
        </w:rPr>
      </w:pPr>
      <w:r>
        <w:rPr>
          <w:iCs/>
          <w:sz w:val="24"/>
          <w:szCs w:val="24"/>
        </w:rPr>
        <w:tab/>
        <w:tab/>
        <w:t>b.2) A multa pode ser aplicada isoladamente ou com as penalidades definidas nos itens “c” e “d” abaixo:</w:t>
      </w:r>
    </w:p>
    <w:p>
      <w:pPr>
        <w:pStyle w:val="Normal"/>
        <w:spacing w:lineRule="auto" w:line="276"/>
        <w:jc w:val="both"/>
        <w:rPr>
          <w:rFonts w:ascii="Times New Roman" w:hAnsi="Times New Roman"/>
          <w:iCs/>
          <w:sz w:val="24"/>
          <w:szCs w:val="24"/>
        </w:rPr>
      </w:pPr>
      <w:r>
        <w:rPr>
          <w:iCs/>
          <w:sz w:val="24"/>
          <w:szCs w:val="24"/>
        </w:rPr>
        <w:tab/>
        <w:t>c) Impedimento de licitar e contratar no âmbito da Administração Pública direta e indireta do ente federativo que tiver aplicado a sanção, pelo prazo máximo de 03 (três) anos, nos casos dos subitens 12.1.2 a 12.1.7 deste Termo de Referência, quando não se justificar a imposição de penalidade mais grave.</w:t>
      </w:r>
    </w:p>
    <w:p>
      <w:pPr>
        <w:pStyle w:val="Normal"/>
        <w:spacing w:lineRule="auto" w:line="276"/>
        <w:jc w:val="both"/>
        <w:rPr>
          <w:rFonts w:ascii="Times New Roman" w:hAnsi="Times New Roman"/>
          <w:iCs/>
          <w:sz w:val="24"/>
          <w:szCs w:val="24"/>
        </w:rPr>
      </w:pPr>
      <w:r>
        <w:rPr>
          <w:iCs/>
          <w:sz w:val="24"/>
          <w:szCs w:val="24"/>
        </w:rPr>
        <w:tab/>
        <w:t>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12.1.8 a 12.1.12, deste Termo de Referência.</w:t>
      </w:r>
    </w:p>
    <w:p>
      <w:pPr>
        <w:pStyle w:val="Normal"/>
        <w:spacing w:lineRule="auto" w:line="276"/>
        <w:jc w:val="both"/>
        <w:rPr/>
      </w:pPr>
      <w:r>
        <w:rPr>
          <w:b/>
          <w:bCs/>
          <w:iCs/>
          <w:color w:val="000000"/>
          <w:sz w:val="24"/>
          <w:szCs w:val="24"/>
        </w:rPr>
        <w:t>12</w:t>
      </w:r>
      <w:r>
        <w:rPr>
          <w:b/>
          <w:bCs/>
          <w:iCs/>
          <w:sz w:val="24"/>
          <w:szCs w:val="24"/>
        </w:rPr>
        <w:t>.3.</w:t>
      </w:r>
      <w:r>
        <w:rPr>
          <w:iCs/>
          <w:sz w:val="24"/>
          <w:szCs w:val="24"/>
        </w:rPr>
        <w:t xml:space="preserve"> Na aplicação das sanções serão considerados:</w:t>
      </w:r>
    </w:p>
    <w:p>
      <w:pPr>
        <w:pStyle w:val="Normal"/>
        <w:spacing w:lineRule="auto" w:line="276"/>
        <w:jc w:val="both"/>
        <w:rPr/>
      </w:pPr>
      <w:r>
        <w:rPr>
          <w:b/>
          <w:bCs/>
          <w:iCs/>
          <w:color w:val="000000"/>
          <w:sz w:val="24"/>
          <w:szCs w:val="24"/>
        </w:rPr>
        <w:t>12</w:t>
      </w:r>
      <w:r>
        <w:rPr>
          <w:b/>
          <w:bCs/>
          <w:iCs/>
          <w:sz w:val="24"/>
          <w:szCs w:val="24"/>
        </w:rPr>
        <w:t>.3.1</w:t>
      </w:r>
      <w:r>
        <w:rPr>
          <w:iCs/>
          <w:sz w:val="24"/>
          <w:szCs w:val="24"/>
        </w:rPr>
        <w:t>. A natureza e a gravidade da infração cometida.</w:t>
      </w:r>
    </w:p>
    <w:p>
      <w:pPr>
        <w:pStyle w:val="Normal"/>
        <w:spacing w:lineRule="auto" w:line="276"/>
        <w:jc w:val="both"/>
        <w:rPr/>
      </w:pPr>
      <w:r>
        <w:rPr>
          <w:b/>
          <w:bCs/>
          <w:iCs/>
          <w:sz w:val="24"/>
          <w:szCs w:val="24"/>
        </w:rPr>
        <w:t>12.3.2</w:t>
      </w:r>
      <w:r>
        <w:rPr>
          <w:iCs/>
          <w:sz w:val="24"/>
          <w:szCs w:val="24"/>
        </w:rPr>
        <w:t>. As peculiaridades do caso concreto.</w:t>
      </w:r>
    </w:p>
    <w:p>
      <w:pPr>
        <w:pStyle w:val="Normal"/>
        <w:spacing w:lineRule="auto" w:line="276"/>
        <w:jc w:val="both"/>
        <w:rPr/>
      </w:pPr>
      <w:r>
        <w:rPr>
          <w:b/>
          <w:bCs/>
          <w:iCs/>
          <w:sz w:val="24"/>
          <w:szCs w:val="24"/>
        </w:rPr>
        <w:t>12.3.3.</w:t>
      </w:r>
      <w:r>
        <w:rPr>
          <w:iCs/>
          <w:sz w:val="24"/>
          <w:szCs w:val="24"/>
        </w:rPr>
        <w:t xml:space="preserve"> As circunstâncias agravantes ou atenuantes.</w:t>
      </w:r>
    </w:p>
    <w:p>
      <w:pPr>
        <w:pStyle w:val="Normal"/>
        <w:spacing w:lineRule="auto" w:line="276"/>
        <w:jc w:val="both"/>
        <w:rPr/>
      </w:pPr>
      <w:r>
        <w:rPr>
          <w:b/>
          <w:bCs/>
          <w:iCs/>
          <w:sz w:val="24"/>
          <w:szCs w:val="24"/>
        </w:rPr>
        <w:t>12.3.4.</w:t>
      </w:r>
      <w:r>
        <w:rPr>
          <w:iCs/>
          <w:sz w:val="24"/>
          <w:szCs w:val="24"/>
        </w:rPr>
        <w:t xml:space="preserve"> Os danos que dela provierem para a Autarquia.</w:t>
      </w:r>
    </w:p>
    <w:p>
      <w:pPr>
        <w:pStyle w:val="Normal"/>
        <w:spacing w:lineRule="auto" w:line="276"/>
        <w:jc w:val="both"/>
        <w:rPr/>
      </w:pPr>
      <w:r>
        <w:rPr>
          <w:b/>
          <w:bCs/>
          <w:iCs/>
          <w:color w:val="000000"/>
          <w:sz w:val="24"/>
          <w:szCs w:val="24"/>
        </w:rPr>
        <w:t>12</w:t>
      </w:r>
      <w:r>
        <w:rPr>
          <w:b/>
          <w:bCs/>
          <w:iCs/>
          <w:sz w:val="24"/>
          <w:szCs w:val="24"/>
        </w:rPr>
        <w:t>.3.5.</w:t>
      </w:r>
      <w:r>
        <w:rPr>
          <w:iCs/>
          <w:sz w:val="24"/>
          <w:szCs w:val="24"/>
        </w:rPr>
        <w:t xml:space="preserve"> A implantação ou o aperfeiçoamento de programa de integridade, conforme normas e orientações dos órgãos de controle.</w:t>
      </w:r>
    </w:p>
    <w:p>
      <w:pPr>
        <w:pStyle w:val="Normal"/>
        <w:spacing w:lineRule="auto" w:line="276"/>
        <w:jc w:val="both"/>
        <w:rPr/>
      </w:pPr>
      <w:r>
        <w:rPr>
          <w:b/>
          <w:bCs/>
          <w:iCs/>
          <w:sz w:val="24"/>
          <w:szCs w:val="24"/>
        </w:rPr>
        <w:t>12.4.</w:t>
      </w:r>
      <w:r>
        <w:rPr>
          <w:iCs/>
          <w:sz w:val="24"/>
          <w:szCs w:val="24"/>
        </w:rPr>
        <w:t xml:space="preserve"> Se a multa aplicada e as indenizações cabíveis forem superiores ao valor de pagamento eventualmente devido pela Autarquia à CONTRATADA, além da perda desse valor, a diferença será descontada da garantia prestada ou será cobrada judicialmente.</w:t>
      </w:r>
    </w:p>
    <w:p>
      <w:pPr>
        <w:pStyle w:val="Normal"/>
        <w:spacing w:lineRule="auto" w:line="276"/>
        <w:jc w:val="both"/>
        <w:rPr/>
      </w:pPr>
      <w:r>
        <w:rPr>
          <w:b/>
          <w:bCs/>
          <w:iCs/>
          <w:sz w:val="24"/>
          <w:szCs w:val="24"/>
          <w:lang w:eastAsia="en-US"/>
        </w:rPr>
        <w:t>12.5</w:t>
      </w:r>
      <w:r>
        <w:rPr>
          <w:iCs/>
          <w:sz w:val="24"/>
          <w:szCs w:val="24"/>
          <w:lang w:eastAsia="en-US"/>
        </w:rPr>
        <w:t>. 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>
      <w:pPr>
        <w:pStyle w:val="Normal"/>
        <w:spacing w:lineRule="auto" w:line="276"/>
        <w:jc w:val="both"/>
        <w:rPr>
          <w:rFonts w:ascii="Times New Roman" w:hAnsi="Times New Roman" w:cs="Arial"/>
          <w:b/>
          <w:b/>
          <w:sz w:val="24"/>
          <w:szCs w:val="24"/>
          <w:u w:val="single"/>
        </w:rPr>
      </w:pPr>
      <w:r>
        <w:rPr>
          <w:rFonts w:cs="Arial"/>
          <w:b/>
          <w:sz w:val="24"/>
          <w:szCs w:val="24"/>
          <w:u w:val="single"/>
        </w:rPr>
      </w:r>
    </w:p>
    <w:p>
      <w:pPr>
        <w:pStyle w:val="Normal"/>
        <w:spacing w:lineRule="auto" w:line="276"/>
        <w:ind w:left="-79" w:hanging="0"/>
        <w:jc w:val="both"/>
        <w:rPr>
          <w:rFonts w:ascii="Times New Roman" w:hAnsi="Times New Roman"/>
          <w:b/>
          <w:b/>
          <w:bCs/>
          <w:sz w:val="24"/>
          <w:szCs w:val="24"/>
          <w:shd w:fill="auto" w:val="clear"/>
          <w:lang w:eastAsia="en-US"/>
        </w:rPr>
      </w:pPr>
      <w:r>
        <w:rPr>
          <w:b/>
          <w:bCs/>
          <w:sz w:val="24"/>
          <w:szCs w:val="24"/>
          <w:shd w:fill="auto" w:val="clear"/>
          <w:lang w:eastAsia="en-US"/>
        </w:rPr>
        <w:t>13. DA HABILITAÇÃO</w:t>
      </w:r>
    </w:p>
    <w:p>
      <w:pPr>
        <w:pStyle w:val="Normal"/>
        <w:spacing w:lineRule="auto" w:line="276"/>
        <w:ind w:hanging="0"/>
        <w:jc w:val="both"/>
        <w:rPr/>
      </w:pPr>
      <w:r>
        <w:rPr>
          <w:sz w:val="24"/>
          <w:szCs w:val="24"/>
        </w:rPr>
        <w:br/>
      </w:r>
      <w:r>
        <w:rPr>
          <w:rFonts w:cs="Verdana"/>
          <w:sz w:val="24"/>
          <w:szCs w:val="24"/>
          <w:lang w:eastAsia="ar-SA"/>
        </w:rPr>
        <w:t>13.1</w:t>
      </w:r>
      <w:r>
        <w:rPr>
          <w:rFonts w:cs="Verdana"/>
          <w:b w:val="false"/>
          <w:sz w:val="24"/>
          <w:szCs w:val="24"/>
          <w:lang w:eastAsia="ar-SA"/>
        </w:rPr>
        <w:t xml:space="preserve"> Como condição prévia ao exame da documentação de habilitação do licitante detentor da proposta classificada em primeiro lugar, o Agente de Contratação verificará o eventual descumprimento das condições de participação, especialmente quanto à existência de sanção que impeça a participação no certame ou a futura contratação, mediante a consulta aos seguintes cadastros:</w:t>
      </w:r>
    </w:p>
    <w:p>
      <w:pPr>
        <w:pStyle w:val="ListParagraph"/>
        <w:spacing w:lineRule="auto" w:line="276" w:before="57" w:after="57"/>
        <w:ind w:left="0" w:hanging="0"/>
        <w:contextualSpacing/>
        <w:jc w:val="both"/>
        <w:rPr/>
      </w:pPr>
      <w:r>
        <w:rPr>
          <w:rFonts w:cs="Verdana" w:ascii="Times New Roman" w:hAnsi="Times New Roman"/>
          <w:sz w:val="24"/>
          <w:szCs w:val="24"/>
          <w:lang w:eastAsia="ar-SA"/>
        </w:rPr>
        <w:t>a) Cadastro Nacional de Condenações Cíveis por Atos de Improbidade Administrativa, mantido pelo Conselho Nacional de Justiça (</w:t>
      </w:r>
      <w:hyperlink r:id="rId3">
        <w:r>
          <w:rPr>
            <w:rFonts w:cs="Verdana" w:ascii="Times New Roman" w:hAnsi="Times New Roman"/>
            <w:color w:val="000080"/>
            <w:sz w:val="24"/>
            <w:szCs w:val="24"/>
            <w:u w:val="single"/>
            <w:lang w:eastAsia="ar-SA"/>
          </w:rPr>
          <w:t>www.cnj.jus.br/improbidade_adm/consultar_requerido.php</w:t>
        </w:r>
      </w:hyperlink>
      <w:r>
        <w:rPr>
          <w:rFonts w:cs="Verdana" w:ascii="Times New Roman" w:hAnsi="Times New Roman"/>
          <w:sz w:val="24"/>
          <w:szCs w:val="24"/>
          <w:lang w:eastAsia="ar-SA"/>
        </w:rPr>
        <w:t>).</w:t>
      </w:r>
    </w:p>
    <w:p>
      <w:pPr>
        <w:pStyle w:val="ListParagraph"/>
        <w:spacing w:lineRule="auto" w:line="276" w:before="57" w:after="57"/>
        <w:ind w:left="0" w:hanging="0"/>
        <w:contextualSpacing/>
        <w:jc w:val="both"/>
        <w:rPr/>
      </w:pPr>
      <w:r>
        <w:rPr>
          <w:rFonts w:cs="Verdana" w:ascii="Times New Roman" w:hAnsi="Times New Roman"/>
          <w:sz w:val="24"/>
          <w:szCs w:val="24"/>
          <w:lang w:eastAsia="ar-SA"/>
        </w:rPr>
        <w:t>b) Cadastro de empresas inid</w:t>
      </w:r>
      <w:r>
        <w:rPr>
          <w:rFonts w:cs="Verdana" w:ascii="Times New Roman" w:hAnsi="Times New Roman"/>
          <w:sz w:val="24"/>
          <w:szCs w:val="24"/>
        </w:rPr>
        <w:t>ôneas, mantido pelo Tribunal de Contas do Estado do Espírito Santo –TCE/ES(https://www.tcees.tc.br/portal-da-transparencia/consultas/lista-de-responsaveis/empresas-inidoneas/) e proibidas de contratar com o Poder Público estadual ou municipal(</w:t>
      </w:r>
      <w:hyperlink r:id="rId4">
        <w:r>
          <w:rPr>
            <w:rFonts w:cs="Verdana" w:ascii="Times New Roman" w:hAnsi="Times New Roman"/>
            <w:color w:val="000080"/>
            <w:sz w:val="24"/>
            <w:szCs w:val="24"/>
            <w:u w:val="single"/>
          </w:rPr>
          <w:t>https://www.tcees.tc.br/portal-da-transparencia/consultas/lista-de</w:t>
        </w:r>
      </w:hyperlink>
      <w:r>
        <w:rPr>
          <w:rFonts w:cs="Verdana" w:ascii="Times New Roman" w:hAnsi="Times New Roman"/>
          <w:sz w:val="24"/>
          <w:szCs w:val="24"/>
        </w:rPr>
        <w:t xml:space="preserve"> responsáveis/proibidos-de-contratar/).</w:t>
      </w:r>
    </w:p>
    <w:p>
      <w:pPr>
        <w:pStyle w:val="Normal"/>
        <w:spacing w:lineRule="auto" w:line="276" w:before="57" w:after="57"/>
        <w:jc w:val="both"/>
        <w:rPr/>
      </w:pPr>
      <w:r>
        <w:rPr>
          <w:rFonts w:cs="Verdana"/>
          <w:b/>
          <w:bCs/>
          <w:sz w:val="24"/>
          <w:szCs w:val="24"/>
          <w:lang w:eastAsia="ar-SA"/>
        </w:rPr>
        <w:t>13.1.1.</w:t>
      </w:r>
      <w:r>
        <w:rPr>
          <w:rFonts w:cs="Verdana"/>
          <w:sz w:val="24"/>
          <w:szCs w:val="24"/>
          <w:lang w:eastAsia="ar-SA"/>
        </w:rPr>
        <w:t xml:space="preserve"> Para a consulta de licitantes pessoa jurídica poderá haver a substituição das consultas das alínea “b” acima pela Consulta Consolidada de Pessoa Jurídica do TCU (</w:t>
      </w:r>
      <w:hyperlink r:id="rId5">
        <w:r>
          <w:rPr>
            <w:rFonts w:cs="Verdana"/>
            <w:color w:val="000080"/>
            <w:sz w:val="24"/>
            <w:szCs w:val="24"/>
            <w:u w:val="single"/>
            <w:lang w:eastAsia="ar-SA"/>
          </w:rPr>
          <w:t>https://certidoesapf.apps.tcu.gov.br/</w:t>
        </w:r>
      </w:hyperlink>
      <w:r>
        <w:rPr>
          <w:rFonts w:cs="Verdana"/>
          <w:sz w:val="24"/>
          <w:szCs w:val="24"/>
          <w:lang w:eastAsia="ar-SA"/>
        </w:rPr>
        <w:t>);</w:t>
      </w:r>
    </w:p>
    <w:p>
      <w:pPr>
        <w:pStyle w:val="Normal"/>
        <w:spacing w:lineRule="auto" w:line="276" w:before="57" w:after="57"/>
        <w:jc w:val="both"/>
        <w:rPr/>
      </w:pPr>
      <w:r>
        <w:rPr>
          <w:rFonts w:cs="Verdana"/>
          <w:b/>
          <w:bCs/>
          <w:color w:val="000000"/>
          <w:sz w:val="24"/>
          <w:szCs w:val="24"/>
        </w:rPr>
        <w:t xml:space="preserve">13.1.2. </w:t>
      </w:r>
      <w:r>
        <w:rPr>
          <w:rFonts w:cs="Verdana"/>
          <w:color w:val="000000"/>
          <w:sz w:val="24"/>
          <w:szCs w:val="24"/>
        </w:rPr>
        <w:t>A consulta aos cadastros será realizada em nome da empresa licitante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>
      <w:pPr>
        <w:pStyle w:val="Normal"/>
        <w:spacing w:lineRule="auto" w:line="276" w:before="57" w:after="57"/>
        <w:jc w:val="both"/>
        <w:rPr/>
      </w:pPr>
      <w:r>
        <w:rPr>
          <w:rFonts w:cs="Verdana"/>
          <w:b/>
          <w:bCs/>
          <w:color w:val="000000"/>
          <w:sz w:val="24"/>
          <w:szCs w:val="24"/>
        </w:rPr>
        <w:t>13.1.2.1.</w:t>
      </w:r>
      <w:r>
        <w:rPr>
          <w:rFonts w:cs="Verdana"/>
          <w:bCs/>
          <w:color w:val="000000"/>
          <w:sz w:val="24"/>
          <w:szCs w:val="24"/>
        </w:rPr>
        <w:t xml:space="preserve">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>
      <w:pPr>
        <w:pStyle w:val="ListParagraph"/>
        <w:tabs>
          <w:tab w:val="clear" w:pos="720"/>
          <w:tab w:val="left" w:pos="733" w:leader="none"/>
          <w:tab w:val="left" w:pos="900" w:leader="none"/>
        </w:tabs>
        <w:spacing w:lineRule="auto" w:line="276" w:before="57" w:after="57"/>
        <w:ind w:left="0" w:hanging="0"/>
        <w:contextualSpacing/>
        <w:jc w:val="both"/>
        <w:rPr/>
      </w:pP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>13.1.2.2.</w:t>
      </w:r>
      <w:r>
        <w:rPr>
          <w:rFonts w:cs="Verdana" w:ascii="Times New Roman" w:hAnsi="Times New Roman"/>
          <w:bCs/>
          <w:color w:val="000000"/>
          <w:sz w:val="24"/>
          <w:szCs w:val="24"/>
        </w:rPr>
        <w:t xml:space="preserve"> A tentativa de burla será verificada por meio dos vínculos societários, linhas de fornecimento similares, dentre outros.</w:t>
      </w:r>
    </w:p>
    <w:p>
      <w:pPr>
        <w:pStyle w:val="ListParagraph"/>
        <w:tabs>
          <w:tab w:val="clear" w:pos="720"/>
          <w:tab w:val="left" w:pos="733" w:leader="none"/>
          <w:tab w:val="left" w:pos="900" w:leader="none"/>
        </w:tabs>
        <w:spacing w:lineRule="auto" w:line="276" w:before="57" w:after="57"/>
        <w:ind w:left="0" w:hanging="0"/>
        <w:contextualSpacing/>
        <w:jc w:val="both"/>
        <w:rPr/>
      </w:pP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>13.1.2.3.</w:t>
      </w:r>
      <w:r>
        <w:rPr>
          <w:rFonts w:cs="Verdana" w:ascii="Times New Roman" w:hAnsi="Times New Roman"/>
          <w:bCs/>
          <w:color w:val="000000"/>
          <w:sz w:val="24"/>
          <w:szCs w:val="24"/>
        </w:rPr>
        <w:t xml:space="preserve"> O licitante será convocado para manifestação previamente à sua desclassificação.</w:t>
      </w:r>
    </w:p>
    <w:p>
      <w:pPr>
        <w:pStyle w:val="ListParagraph"/>
        <w:spacing w:lineRule="auto" w:line="276" w:before="57" w:after="57"/>
        <w:ind w:left="0" w:hanging="0"/>
        <w:contextualSpacing/>
        <w:jc w:val="both"/>
        <w:rPr/>
      </w:pP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 xml:space="preserve">13.1.3. </w:t>
      </w:r>
      <w:r>
        <w:rPr>
          <w:rFonts w:cs="Verdana" w:ascii="Times New Roman" w:hAnsi="Times New Roman"/>
          <w:bCs/>
          <w:color w:val="000000"/>
          <w:sz w:val="24"/>
          <w:szCs w:val="24"/>
        </w:rPr>
        <w:t>Constatada a existência de sanção, o Agente de Contratação reputará o licitante inabilitado, por falta de condição de participação.</w:t>
      </w:r>
    </w:p>
    <w:p>
      <w:pPr>
        <w:pStyle w:val="ListParagraph"/>
        <w:spacing w:lineRule="auto" w:line="276" w:before="57" w:after="57"/>
        <w:ind w:left="0" w:hanging="0"/>
        <w:contextualSpacing/>
        <w:jc w:val="both"/>
        <w:rPr/>
      </w:pP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>13.1.4.</w:t>
      </w:r>
      <w:r>
        <w:rPr>
          <w:rFonts w:cs="Verdana" w:ascii="Times New Roman" w:hAnsi="Times New Roman"/>
          <w:bCs/>
          <w:color w:val="000000"/>
          <w:sz w:val="24"/>
          <w:szCs w:val="24"/>
        </w:rPr>
        <w:t xml:space="preserve"> No caso de inabilitação, haverá nova verificação, da eventual ocorrência do empate ficto, previsto nos arts. 44 e 45 da Lei Complementar nº 123, de 2006, seguindo-se a disciplina antes estabelecida para aceitação da proposta subsequente.</w:t>
      </w:r>
    </w:p>
    <w:p>
      <w:pPr>
        <w:pStyle w:val="ListParagraph"/>
        <w:spacing w:lineRule="auto" w:line="276" w:before="57" w:after="57"/>
        <w:ind w:left="0" w:hanging="0"/>
        <w:contextualSpacing/>
        <w:jc w:val="both"/>
        <w:rPr/>
      </w:pP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>13.2</w:t>
      </w:r>
      <w:r>
        <w:rPr>
          <w:rFonts w:cs="Verdana" w:ascii="Times New Roman" w:hAnsi="Times New Roman"/>
          <w:color w:val="000000"/>
          <w:sz w:val="24"/>
          <w:szCs w:val="24"/>
        </w:rPr>
        <w:t xml:space="preserve"> Havendo a necessidade de envio de documentos de habilitação complementares, necessários à confirmação daqueles exigidos neste Edital e já apresentados, o licitante será convocado a fornecê-los, em formato digital ou físico, via e-mail ou pessoalmente na sede do Instituto de Previdência, no prazo estabelecido, sob pena de inabilitação.</w:t>
      </w:r>
    </w:p>
    <w:p>
      <w:pPr>
        <w:pStyle w:val="ListParagraph"/>
        <w:spacing w:lineRule="auto" w:line="276" w:before="57" w:after="57"/>
        <w:ind w:left="0" w:hanging="0"/>
        <w:contextualSpacing/>
        <w:jc w:val="both"/>
        <w:rPr/>
      </w:pPr>
      <w:r>
        <w:rPr>
          <w:rFonts w:cs="Verdana" w:ascii="Times New Roman" w:hAnsi="Times New Roman"/>
          <w:b/>
          <w:bCs/>
          <w:sz w:val="24"/>
          <w:szCs w:val="24"/>
        </w:rPr>
        <w:t>13.3</w:t>
      </w:r>
      <w:r>
        <w:rPr>
          <w:rFonts w:cs="Verdana" w:ascii="Times New Roman" w:hAnsi="Times New Roman"/>
          <w:sz w:val="24"/>
          <w:szCs w:val="24"/>
        </w:rPr>
        <w:t xml:space="preserve"> Somente haverá a necessidade de comprovação do preenchimento de requisitos mediante apresentação dos documentos originais não-digitais quando houver dúvida em relação à integridade do documento digital.</w:t>
      </w:r>
    </w:p>
    <w:p>
      <w:pPr>
        <w:pStyle w:val="ListParagraph"/>
        <w:spacing w:lineRule="auto" w:line="276" w:before="57" w:after="57"/>
        <w:ind w:left="0" w:hanging="0"/>
        <w:contextualSpacing/>
        <w:jc w:val="both"/>
        <w:rPr/>
      </w:pPr>
      <w:r>
        <w:rPr>
          <w:rFonts w:cs="Verdana" w:ascii="Times New Roman" w:hAnsi="Times New Roman"/>
          <w:b/>
          <w:bCs/>
          <w:sz w:val="24"/>
          <w:szCs w:val="24"/>
        </w:rPr>
        <w:t>13.4</w:t>
      </w:r>
      <w:r>
        <w:rPr>
          <w:rFonts w:cs="Verdana" w:ascii="Times New Roman" w:hAnsi="Times New Roman"/>
          <w:sz w:val="24"/>
          <w:szCs w:val="24"/>
        </w:rPr>
        <w:t xml:space="preserve"> Não serão aceitos documentos de habilitação com indicação de CNPJ/CPF diferentes, salvo aqueles legalmente permitidos.</w:t>
      </w:r>
    </w:p>
    <w:p>
      <w:pPr>
        <w:pStyle w:val="PADRO"/>
        <w:widowControl/>
        <w:tabs>
          <w:tab w:val="clear" w:pos="720"/>
          <w:tab w:val="left" w:pos="567" w:leader="none"/>
        </w:tabs>
        <w:spacing w:lineRule="auto" w:line="276" w:before="57" w:after="57"/>
        <w:ind w:hanging="0"/>
        <w:rPr/>
      </w:pPr>
      <w:r>
        <w:rPr>
          <w:rFonts w:cs="Verdana" w:ascii="Times New Roman" w:hAnsi="Times New Roman"/>
          <w:b/>
          <w:bCs/>
          <w:sz w:val="24"/>
          <w:szCs w:val="24"/>
        </w:rPr>
        <w:t>13.5</w:t>
      </w:r>
      <w:r>
        <w:rPr>
          <w:rFonts w:cs="Verdana" w:ascii="Times New Roman" w:hAnsi="Times New Roman"/>
          <w:sz w:val="24"/>
          <w:szCs w:val="24"/>
        </w:rPr>
        <w:t xml:space="preserve"> Serão aceitos registros de CNPJ de licitante matriz e filial com diferenças de números de documentos pertinentes ao CND e ao CRF/FGTS, quando for comprovada a centralização do recolhimento dessas contribuições.</w:t>
      </w:r>
    </w:p>
    <w:p>
      <w:pPr>
        <w:pStyle w:val="PADRO"/>
        <w:widowControl/>
        <w:tabs>
          <w:tab w:val="clear" w:pos="720"/>
          <w:tab w:val="left" w:pos="567" w:leader="none"/>
        </w:tabs>
        <w:spacing w:lineRule="auto" w:line="276" w:before="57" w:after="57"/>
        <w:ind w:hanging="0"/>
        <w:rPr/>
      </w:pP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 xml:space="preserve">13.6 </w:t>
      </w:r>
      <w:r>
        <w:rPr>
          <w:rFonts w:cs="Verdana" w:ascii="Times New Roman" w:hAnsi="Times New Roman"/>
          <w:b w:val="false"/>
          <w:bCs w:val="false"/>
          <w:color w:val="000000"/>
          <w:sz w:val="24"/>
          <w:szCs w:val="24"/>
        </w:rPr>
        <w:t>O</w:t>
      </w:r>
      <w:r>
        <w:rPr>
          <w:rFonts w:cs="Verdana" w:ascii="Times New Roman" w:hAnsi="Times New Roman"/>
          <w:color w:val="000000"/>
          <w:sz w:val="24"/>
          <w:szCs w:val="24"/>
        </w:rPr>
        <w:t>s licitantes deverão encaminhar, conforme este Termo de Referência, a documentação relacionada nos itens a seguir, para fins de habilitação:</w:t>
      </w:r>
    </w:p>
    <w:p>
      <w:pPr>
        <w:pStyle w:val="ListParagraph"/>
        <w:spacing w:lineRule="auto" w:line="276" w:before="57" w:after="57"/>
        <w:ind w:left="0" w:hanging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ListParagraph"/>
        <w:spacing w:lineRule="auto" w:line="276" w:before="57" w:after="57"/>
        <w:ind w:left="0" w:hanging="0"/>
        <w:contextualSpacing/>
        <w:jc w:val="both"/>
        <w:rPr>
          <w:rFonts w:ascii="Times New Roman" w:hAnsi="Times New Roman" w:cs="Verdana"/>
          <w:b/>
          <w:b/>
          <w:bCs/>
          <w:color w:val="000000"/>
          <w:sz w:val="24"/>
          <w:szCs w:val="24"/>
        </w:rPr>
      </w:pP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>13.6.1 Habilitação jurídica:</w:t>
      </w:r>
    </w:p>
    <w:p>
      <w:pPr>
        <w:pStyle w:val="ListParagraph"/>
        <w:spacing w:lineRule="auto" w:line="276" w:before="57" w:after="57"/>
        <w:ind w:left="0" w:hanging="0"/>
        <w:contextualSpacing/>
        <w:jc w:val="both"/>
        <w:rPr>
          <w:rFonts w:ascii="Times New Roman" w:hAnsi="Times New Roman" w:cs="Verdana"/>
          <w:b/>
          <w:b/>
          <w:bCs/>
          <w:color w:val="000000"/>
          <w:sz w:val="24"/>
          <w:szCs w:val="24"/>
        </w:rPr>
      </w:pPr>
      <w:r>
        <w:rPr>
          <w:rFonts w:cs="Verdana" w:ascii="Times New Roman" w:hAnsi="Times New Roman"/>
          <w:b/>
          <w:bCs/>
          <w:color w:val="000000"/>
          <w:sz w:val="24"/>
          <w:szCs w:val="24"/>
        </w:rPr>
      </w:r>
    </w:p>
    <w:p>
      <w:pPr>
        <w:pStyle w:val="ListParagraph"/>
        <w:spacing w:lineRule="auto" w:line="276" w:before="57" w:after="57"/>
        <w:ind w:left="0" w:hanging="0"/>
        <w:contextualSpacing/>
        <w:jc w:val="both"/>
        <w:rPr/>
      </w:pP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 xml:space="preserve">13.6.1.1 </w:t>
      </w:r>
      <w:r>
        <w:rPr>
          <w:rFonts w:cs="Verdana" w:ascii="Times New Roman" w:hAnsi="Times New Roman"/>
          <w:bCs/>
          <w:color w:val="000000"/>
          <w:sz w:val="24"/>
          <w:szCs w:val="24"/>
        </w:rPr>
        <w:t>No caso de empresário individual: inscrição no Registro Público de Empresas Mercantis, a cargo da Junta Comercial da respectiva sede;</w:t>
      </w:r>
    </w:p>
    <w:p>
      <w:pPr>
        <w:pStyle w:val="ListParagraph"/>
        <w:spacing w:lineRule="auto" w:line="276" w:before="57" w:after="57"/>
        <w:ind w:left="0" w:hanging="0"/>
        <w:contextualSpacing/>
        <w:jc w:val="both"/>
        <w:rPr/>
      </w:pP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 xml:space="preserve">13.6.1.2 </w:t>
      </w:r>
      <w:r>
        <w:rPr>
          <w:rFonts w:cs="Verdana" w:ascii="Times New Roman" w:hAnsi="Times New Roman"/>
          <w:bCs/>
          <w:color w:val="000000"/>
          <w:sz w:val="24"/>
          <w:szCs w:val="24"/>
        </w:rPr>
        <w:t xml:space="preserve">Em se tratando de microempreendedor individual – MEI: Certificado da Condição de Microempreendedor Individual – CCMEI, cuja aceitação ficará condicionada à verificação da autenticidade no sítio </w:t>
      </w:r>
      <w:hyperlink r:id="rId6">
        <w:r>
          <w:rPr>
            <w:rFonts w:cs="Verdana" w:ascii="Times New Roman" w:hAnsi="Times New Roman"/>
            <w:bCs/>
            <w:color w:val="000000"/>
            <w:sz w:val="24"/>
            <w:szCs w:val="24"/>
            <w:u w:val="single"/>
          </w:rPr>
          <w:t>www.portaldoempreendedor.gov.br</w:t>
        </w:r>
      </w:hyperlink>
      <w:r>
        <w:rPr>
          <w:rFonts w:cs="Verdana" w:ascii="Times New Roman" w:hAnsi="Times New Roman"/>
          <w:bCs/>
          <w:color w:val="000000"/>
          <w:sz w:val="24"/>
          <w:szCs w:val="24"/>
        </w:rPr>
        <w:t>;</w:t>
      </w:r>
    </w:p>
    <w:p>
      <w:pPr>
        <w:pStyle w:val="ListParagraph"/>
        <w:spacing w:lineRule="auto" w:line="276" w:before="57" w:after="57"/>
        <w:ind w:left="0" w:hanging="0"/>
        <w:contextualSpacing/>
        <w:jc w:val="both"/>
        <w:rPr/>
      </w:pP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>13.6.1.3</w:t>
      </w:r>
      <w:r>
        <w:rPr>
          <w:rFonts w:cs="Verdana" w:ascii="Times New Roman" w:hAnsi="Times New Roman"/>
          <w:bCs/>
          <w:color w:val="000000"/>
          <w:sz w:val="24"/>
          <w:szCs w:val="24"/>
        </w:rPr>
        <w:t xml:space="preserve"> No caso de sociedade empresária ou empresa individual de responsabilidade limitada – EIRELI: ato constitutivo, estatuto ou contrato social em vigor, devidamente registrado na Junta Comercial da respectiva sede, acompanhado de documento comprobatório de seus administradores;</w:t>
      </w:r>
    </w:p>
    <w:p>
      <w:pPr>
        <w:pStyle w:val="ListParagraph"/>
        <w:spacing w:lineRule="auto" w:line="276" w:before="57" w:after="57"/>
        <w:ind w:left="0" w:hanging="0"/>
        <w:contextualSpacing/>
        <w:jc w:val="both"/>
        <w:rPr/>
      </w:pP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>13.6.1.4</w:t>
      </w:r>
      <w:r>
        <w:rPr>
          <w:rFonts w:cs="Verdana" w:ascii="Times New Roman" w:hAnsi="Times New Roman"/>
          <w:bCs/>
          <w:color w:val="000000"/>
          <w:sz w:val="24"/>
          <w:szCs w:val="24"/>
        </w:rPr>
        <w:t xml:space="preserve"> Inscrição no Registro Público de Empresas Mercantis onde opera, com averbação no Registro onde tem sede a matriz, no caso de ser o participante sucursal, filial ou agência;</w:t>
      </w:r>
    </w:p>
    <w:p>
      <w:pPr>
        <w:pStyle w:val="ListParagraph"/>
        <w:spacing w:lineRule="auto" w:line="276" w:before="57" w:after="57"/>
        <w:ind w:left="0" w:hanging="0"/>
        <w:contextualSpacing/>
        <w:jc w:val="both"/>
        <w:rPr/>
      </w:pP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>13.6.1.5</w:t>
      </w:r>
      <w:r>
        <w:rPr>
          <w:rFonts w:cs="Verdana" w:ascii="Times New Roman" w:hAnsi="Times New Roman"/>
          <w:bCs/>
          <w:color w:val="000000"/>
          <w:sz w:val="24"/>
          <w:szCs w:val="24"/>
        </w:rPr>
        <w:t xml:space="preserve"> No caso de sociedade simples: inscrição do ato constitutivo no Registro Civil das Pessoas Jurídicas do local de sua sede, acompanhada de prova da indicação dos seus administradores;</w:t>
      </w:r>
    </w:p>
    <w:p>
      <w:pPr>
        <w:pStyle w:val="ListParagraph"/>
        <w:spacing w:lineRule="auto" w:line="276" w:before="57" w:after="57"/>
        <w:ind w:left="0" w:hanging="0"/>
        <w:contextualSpacing/>
        <w:jc w:val="both"/>
        <w:rPr/>
      </w:pP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 xml:space="preserve">13.6.1.6 </w:t>
      </w:r>
      <w:r>
        <w:rPr>
          <w:rFonts w:cs="Verdana" w:ascii="Times New Roman" w:hAnsi="Times New Roman"/>
          <w:bCs/>
          <w:color w:val="000000"/>
          <w:sz w:val="24"/>
          <w:szCs w:val="24"/>
        </w:rPr>
        <w:t>No caso 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1971;</w:t>
      </w:r>
    </w:p>
    <w:p>
      <w:pPr>
        <w:pStyle w:val="ListParagraph"/>
        <w:spacing w:lineRule="auto" w:line="276" w:before="57" w:after="57"/>
        <w:ind w:left="0" w:hanging="0"/>
        <w:contextualSpacing/>
        <w:jc w:val="both"/>
        <w:rPr/>
      </w:pP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>13.6.1.7</w:t>
      </w:r>
      <w:r>
        <w:rPr>
          <w:rFonts w:cs="Verdana" w:ascii="Times New Roman" w:hAnsi="Times New Roman"/>
          <w:bCs/>
          <w:color w:val="000000"/>
          <w:sz w:val="24"/>
          <w:szCs w:val="24"/>
        </w:rPr>
        <w:t xml:space="preserve"> No caso de empresa ou sociedade estrangeira em funcionamento no País: decreto de autorização;</w:t>
      </w:r>
    </w:p>
    <w:p>
      <w:pPr>
        <w:pStyle w:val="ListParagraph"/>
        <w:spacing w:lineRule="auto" w:line="276" w:before="57" w:after="57"/>
        <w:ind w:left="0" w:hanging="0"/>
        <w:contextualSpacing/>
        <w:jc w:val="both"/>
        <w:rPr/>
      </w:pP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>13.6.1.8</w:t>
      </w:r>
      <w:r>
        <w:rPr>
          <w:rFonts w:cs="Verdana" w:ascii="Times New Roman" w:hAnsi="Times New Roman"/>
          <w:bCs/>
          <w:color w:val="000000"/>
          <w:sz w:val="24"/>
          <w:szCs w:val="24"/>
        </w:rPr>
        <w:t xml:space="preserve"> Os documentos acima deverão estar acompanhados de todas as alterações ou da consolidação respectiva;</w:t>
      </w:r>
    </w:p>
    <w:p>
      <w:pPr>
        <w:pStyle w:val="ListParagraph"/>
        <w:spacing w:lineRule="auto" w:line="276" w:before="57" w:after="57"/>
        <w:ind w:left="0" w:hanging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ListParagraph"/>
        <w:spacing w:lineRule="auto" w:line="276" w:before="57" w:after="57"/>
        <w:ind w:left="0" w:hanging="0"/>
        <w:contextualSpacing/>
        <w:jc w:val="both"/>
        <w:rPr/>
      </w:pP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 xml:space="preserve">13.6.2 Regularidade fiscal </w:t>
      </w:r>
      <w:r>
        <w:rPr>
          <w:rFonts w:cs="Verdana" w:ascii="Times New Roman" w:hAnsi="Times New Roman"/>
          <w:b/>
          <w:bCs/>
          <w:sz w:val="24"/>
          <w:szCs w:val="24"/>
        </w:rPr>
        <w:t>e trabalhista</w:t>
      </w:r>
      <w:r>
        <w:rPr>
          <w:rFonts w:cs="Verdana" w:ascii="Times New Roman" w:hAnsi="Times New Roman"/>
          <w:b/>
          <w:bCs/>
          <w:color w:val="0000FF"/>
          <w:sz w:val="24"/>
          <w:szCs w:val="24"/>
        </w:rPr>
        <w:t>:</w:t>
      </w:r>
    </w:p>
    <w:p>
      <w:pPr>
        <w:pStyle w:val="ListParagraph"/>
        <w:spacing w:lineRule="auto" w:line="276" w:before="57" w:after="57"/>
        <w:ind w:left="0" w:hanging="0"/>
        <w:contextualSpacing/>
        <w:jc w:val="both"/>
        <w:rPr>
          <w:rFonts w:ascii="Times New Roman" w:hAnsi="Times New Roman" w:cs="Verdana"/>
          <w:b/>
          <w:b/>
          <w:bCs/>
          <w:color w:val="0000FF"/>
          <w:sz w:val="24"/>
          <w:szCs w:val="24"/>
        </w:rPr>
      </w:pPr>
      <w:r>
        <w:rPr>
          <w:rFonts w:cs="Verdana" w:ascii="Times New Roman" w:hAnsi="Times New Roman"/>
          <w:b/>
          <w:bCs/>
          <w:color w:val="0000FF"/>
          <w:sz w:val="24"/>
          <w:szCs w:val="24"/>
        </w:rPr>
      </w:r>
    </w:p>
    <w:p>
      <w:pPr>
        <w:pStyle w:val="Normal"/>
        <w:spacing w:lineRule="auto" w:line="276" w:before="57" w:after="57"/>
        <w:jc w:val="both"/>
        <w:rPr/>
      </w:pPr>
      <w:r>
        <w:rPr>
          <w:rFonts w:cs="Verdana"/>
          <w:b/>
          <w:bCs/>
          <w:sz w:val="24"/>
          <w:szCs w:val="24"/>
          <w:lang w:eastAsia="en-US"/>
        </w:rPr>
        <w:t>13.6.2.1</w:t>
      </w:r>
      <w:r>
        <w:rPr>
          <w:rFonts w:cs="Verdana"/>
          <w:sz w:val="24"/>
          <w:szCs w:val="24"/>
          <w:lang w:eastAsia="en-US"/>
        </w:rPr>
        <w:t xml:space="preserve"> Prova de inscrição no Cadastro Nacional de Pessoas Jurídicas ou no Cadastro de Pessoas Físicas, conforme o caso;</w:t>
      </w:r>
    </w:p>
    <w:p>
      <w:pPr>
        <w:pStyle w:val="Normal"/>
        <w:spacing w:lineRule="auto" w:line="276" w:before="57" w:after="57"/>
        <w:jc w:val="both"/>
        <w:rPr/>
      </w:pPr>
      <w:r>
        <w:rPr>
          <w:rFonts w:cs="Verdana"/>
          <w:b/>
          <w:bCs/>
          <w:sz w:val="24"/>
          <w:szCs w:val="24"/>
          <w:lang w:eastAsia="en-US"/>
        </w:rPr>
        <w:t xml:space="preserve">13.6.2.2 </w:t>
      </w:r>
      <w:r>
        <w:rPr>
          <w:rFonts w:cs="Verdana"/>
          <w:sz w:val="24"/>
          <w:szCs w:val="24"/>
          <w:lang w:eastAsia="en-US"/>
        </w:rPr>
        <w:t>Certidão de regularidade junto à fazenda pública</w:t>
      </w:r>
      <w:r>
        <w:rPr>
          <w:rFonts w:cs="Verdana"/>
          <w:b/>
          <w:sz w:val="24"/>
          <w:szCs w:val="24"/>
          <w:lang w:eastAsia="en-US"/>
        </w:rPr>
        <w:t xml:space="preserve"> Municipal, </w:t>
      </w:r>
      <w:r>
        <w:rPr>
          <w:rFonts w:cs="Verdana"/>
          <w:sz w:val="24"/>
          <w:szCs w:val="24"/>
          <w:lang w:eastAsia="en-US"/>
        </w:rPr>
        <w:t>do domicílio do Licitante</w:t>
      </w:r>
      <w:r>
        <w:rPr>
          <w:rFonts w:cs="Verdana"/>
          <w:b/>
          <w:sz w:val="24"/>
          <w:szCs w:val="24"/>
          <w:lang w:eastAsia="en-US"/>
        </w:rPr>
        <w:t>;</w:t>
      </w:r>
    </w:p>
    <w:p>
      <w:pPr>
        <w:pStyle w:val="Normal"/>
        <w:spacing w:lineRule="auto" w:line="276" w:before="57" w:after="57"/>
        <w:jc w:val="both"/>
        <w:rPr/>
      </w:pPr>
      <w:r>
        <w:rPr>
          <w:rFonts w:cs="Verdana"/>
          <w:b/>
          <w:bCs/>
          <w:sz w:val="24"/>
          <w:szCs w:val="24"/>
          <w:lang w:eastAsia="en-US"/>
        </w:rPr>
        <w:t>13.6.2.3</w:t>
      </w:r>
      <w:r>
        <w:rPr>
          <w:rFonts w:cs="Verdana"/>
          <w:b/>
          <w:bCs/>
          <w:sz w:val="24"/>
          <w:szCs w:val="24"/>
        </w:rPr>
        <w:t xml:space="preserve"> </w:t>
      </w:r>
      <w:r>
        <w:rPr>
          <w:rFonts w:cs="Verdana"/>
          <w:sz w:val="24"/>
          <w:szCs w:val="24"/>
        </w:rPr>
        <w:t>Certidão de regularidade junto à fazenda pública</w:t>
      </w:r>
      <w:r>
        <w:rPr>
          <w:rFonts w:cs="Verdana"/>
          <w:b/>
          <w:sz w:val="24"/>
          <w:szCs w:val="24"/>
        </w:rPr>
        <w:t xml:space="preserve"> Estadual, </w:t>
      </w:r>
      <w:r>
        <w:rPr>
          <w:rFonts w:cs="Verdana"/>
          <w:sz w:val="24"/>
          <w:szCs w:val="24"/>
        </w:rPr>
        <w:t>do domicílio do Licitante</w:t>
      </w:r>
      <w:r>
        <w:rPr>
          <w:rFonts w:cs="Verdana"/>
          <w:b/>
          <w:sz w:val="24"/>
          <w:szCs w:val="24"/>
        </w:rPr>
        <w:t>;</w:t>
      </w:r>
    </w:p>
    <w:p>
      <w:pPr>
        <w:pStyle w:val="Normal"/>
        <w:spacing w:lineRule="auto" w:line="276" w:before="57" w:after="57"/>
        <w:jc w:val="both"/>
        <w:rPr/>
      </w:pPr>
      <w:r>
        <w:rPr>
          <w:rFonts w:cs="Verdana"/>
          <w:b/>
          <w:bCs/>
          <w:sz w:val="24"/>
          <w:szCs w:val="24"/>
          <w:lang w:eastAsia="en-US"/>
        </w:rPr>
        <w:t>13.6.2.4</w:t>
      </w:r>
      <w:r>
        <w:rPr>
          <w:rFonts w:cs="Verdana"/>
          <w:sz w:val="24"/>
          <w:szCs w:val="24"/>
        </w:rPr>
        <w:t xml:space="preserve"> Certidão conjunta de regularidade junto à fazenda pública </w:t>
      </w:r>
      <w:r>
        <w:rPr>
          <w:rFonts w:cs="Verdana"/>
          <w:b/>
          <w:sz w:val="24"/>
          <w:szCs w:val="24"/>
        </w:rPr>
        <w:t>Federal,</w:t>
      </w:r>
      <w:r>
        <w:rPr>
          <w:rFonts w:cs="Verdana"/>
          <w:sz w:val="24"/>
          <w:szCs w:val="24"/>
        </w:rPr>
        <w:t xml:space="preserve"> </w:t>
      </w:r>
      <w:r>
        <w:rPr>
          <w:rFonts w:cs="Verdana"/>
          <w:b/>
          <w:sz w:val="24"/>
          <w:szCs w:val="24"/>
        </w:rPr>
        <w:t xml:space="preserve">(Quitação de tributos e contribuições Federais e Quanto à dívida ativa da União) </w:t>
      </w:r>
      <w:r>
        <w:rPr>
          <w:rFonts w:cs="Verdana"/>
          <w:sz w:val="24"/>
          <w:szCs w:val="24"/>
        </w:rPr>
        <w:t>e junto ao</w:t>
      </w:r>
      <w:r>
        <w:rPr>
          <w:rFonts w:cs="Verdana"/>
          <w:b/>
          <w:sz w:val="24"/>
          <w:szCs w:val="24"/>
        </w:rPr>
        <w:t xml:space="preserve"> INSS, conforme Portaria MF nº 358 de 05/09/2014;</w:t>
      </w:r>
    </w:p>
    <w:p>
      <w:pPr>
        <w:pStyle w:val="Normal"/>
        <w:spacing w:lineRule="auto" w:line="276" w:before="57" w:after="57"/>
        <w:jc w:val="both"/>
        <w:rPr/>
      </w:pPr>
      <w:r>
        <w:rPr>
          <w:rFonts w:cs="Verdana"/>
          <w:b/>
          <w:bCs/>
          <w:sz w:val="24"/>
          <w:szCs w:val="24"/>
          <w:lang w:eastAsia="en-US"/>
        </w:rPr>
        <w:t>13.6.2.5</w:t>
      </w:r>
      <w:r>
        <w:rPr>
          <w:rFonts w:cs="Verdana"/>
          <w:b/>
          <w:bCs/>
          <w:sz w:val="24"/>
          <w:szCs w:val="24"/>
        </w:rPr>
        <w:t xml:space="preserve"> </w:t>
      </w:r>
      <w:r>
        <w:rPr>
          <w:rFonts w:cs="Verdana"/>
          <w:sz w:val="24"/>
          <w:szCs w:val="24"/>
        </w:rPr>
        <w:t>Certidão de regularidade junto ao</w:t>
      </w:r>
      <w:r>
        <w:rPr>
          <w:rFonts w:cs="Verdana"/>
          <w:b/>
          <w:sz w:val="24"/>
          <w:szCs w:val="24"/>
        </w:rPr>
        <w:t xml:space="preserve"> FGTS;</w:t>
      </w:r>
    </w:p>
    <w:p>
      <w:pPr>
        <w:pStyle w:val="Normal"/>
        <w:spacing w:lineRule="auto" w:line="276" w:before="57" w:after="57"/>
        <w:jc w:val="both"/>
        <w:rPr/>
      </w:pPr>
      <w:r>
        <w:rPr>
          <w:rFonts w:cs="Verdana"/>
          <w:b/>
          <w:bCs/>
          <w:sz w:val="24"/>
          <w:szCs w:val="24"/>
          <w:lang w:eastAsia="en-US"/>
        </w:rPr>
        <w:t xml:space="preserve">13.6.2.6 </w:t>
      </w:r>
      <w:r>
        <w:rPr>
          <w:rFonts w:cs="Verdana"/>
          <w:sz w:val="24"/>
          <w:szCs w:val="24"/>
          <w:lang w:eastAsia="en-US"/>
        </w:rPr>
        <w:t>Certidão Negativa De Débitos Trabalhistas (CNDT) de acordo com a Lei 12440 de 7 de julho de 2011.</w:t>
      </w:r>
    </w:p>
    <w:p>
      <w:pPr>
        <w:pStyle w:val="Normal"/>
        <w:spacing w:lineRule="auto" w:line="276" w:before="57" w:after="57"/>
        <w:jc w:val="both"/>
        <w:rPr/>
      </w:pPr>
      <w:r>
        <w:rPr>
          <w:rFonts w:cs="Verdana"/>
          <w:b/>
          <w:bCs/>
          <w:color w:val="000000"/>
          <w:sz w:val="24"/>
          <w:szCs w:val="24"/>
          <w:lang w:eastAsia="en-US" w:bidi="pt-BR"/>
        </w:rPr>
        <w:t>13.6.2.7</w:t>
      </w:r>
      <w:r>
        <w:rPr>
          <w:rFonts w:cs="Verdana"/>
          <w:color w:val="000000"/>
          <w:sz w:val="24"/>
          <w:szCs w:val="24"/>
          <w:lang w:eastAsia="en-US" w:bidi="pt-BR"/>
        </w:rPr>
        <w:t xml:space="preserve"> Caso o vencedor do menor preço seja qualificado como microempresa ou empresa de pequeno porte </w:t>
      </w:r>
      <w:r>
        <w:rPr>
          <w:rFonts w:cs="Verdana"/>
          <w:color w:val="000000"/>
          <w:sz w:val="24"/>
          <w:szCs w:val="24"/>
          <w:lang w:eastAsia="en-US"/>
        </w:rPr>
        <w:t>deverá apresentar toda a documentação exigida para efeito de comprovação de regularidade fiscal, mesmo que esta apresente alguma restrição, sob pena de inabilitação.</w:t>
      </w:r>
    </w:p>
    <w:p>
      <w:pPr>
        <w:pStyle w:val="Normal"/>
        <w:spacing w:lineRule="auto" w:line="276" w:before="57" w:after="57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76" w:before="57" w:after="57"/>
        <w:jc w:val="both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13.6.3 Da Qualificação técnica</w:t>
      </w:r>
    </w:p>
    <w:p>
      <w:pPr>
        <w:pStyle w:val="Normal"/>
        <w:spacing w:lineRule="auto" w:line="276" w:before="57" w:after="57"/>
        <w:jc w:val="both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spacing w:lineRule="auto" w:line="276" w:before="57" w:after="57"/>
        <w:jc w:val="both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eastAsia="Courier New" w:cs="Arial"/>
          <w:b/>
          <w:bCs/>
          <w:sz w:val="24"/>
          <w:szCs w:val="24"/>
        </w:rPr>
        <w:t xml:space="preserve">13.6.3.1 </w:t>
      </w:r>
      <w:r>
        <w:rPr>
          <w:rFonts w:eastAsia="Courier New" w:cs="Arial"/>
          <w:b w:val="false"/>
          <w:bCs w:val="false"/>
          <w:sz w:val="24"/>
          <w:szCs w:val="24"/>
        </w:rPr>
        <w:t>A equipe técnica da contratada deverá ter formação compatível com os serviços a serem realizados e comprovada a capacidade técnica mediante atestados específicos, inclusive, quanto a certificações específicas pelos órgãos de fiscalização profissional</w:t>
      </w:r>
      <w:r>
        <w:rPr>
          <w:rFonts w:cs="Arial"/>
          <w:b w:val="false"/>
          <w:bCs w:val="false"/>
          <w:sz w:val="24"/>
          <w:szCs w:val="24"/>
        </w:rPr>
        <w:t>.</w:t>
      </w:r>
    </w:p>
    <w:p>
      <w:pPr>
        <w:pStyle w:val="Normal"/>
        <w:spacing w:lineRule="auto" w:line="276" w:before="57" w:after="57"/>
        <w:jc w:val="both"/>
        <w:rPr/>
      </w:pPr>
      <w:r>
        <w:rPr>
          <w:rFonts w:eastAsia="Courier New" w:cs="Arial"/>
          <w:b/>
          <w:bCs/>
          <w:sz w:val="24"/>
          <w:szCs w:val="24"/>
        </w:rPr>
        <w:t xml:space="preserve">13.6.3.2 </w:t>
      </w:r>
      <w:r>
        <w:rPr>
          <w:rFonts w:eastAsia="Courier New" w:cs="Arial"/>
          <w:b w:val="false"/>
          <w:bCs w:val="false"/>
          <w:sz w:val="24"/>
          <w:szCs w:val="24"/>
        </w:rPr>
        <w:t>O(s) atestado(s) deverão ser apresentados em papel timbrado, original ou cópia reprográfica autenticada, assinados por autoridade ou representante de quem os expediu, com a devida identificação e cargo.</w:t>
      </w:r>
    </w:p>
    <w:p>
      <w:pPr>
        <w:pStyle w:val="Normal"/>
        <w:spacing w:lineRule="auto" w:line="276"/>
        <w:jc w:val="both"/>
        <w:rPr/>
      </w:pPr>
      <w:r>
        <w:rPr>
          <w:rFonts w:eastAsia="Courier New" w:cs="Arial"/>
          <w:b/>
          <w:bCs/>
          <w:sz w:val="24"/>
          <w:szCs w:val="24"/>
        </w:rPr>
        <w:t xml:space="preserve">13.6.3.3 </w:t>
      </w:r>
      <w:r>
        <w:rPr>
          <w:rFonts w:eastAsia="Courier New" w:cs="Arial"/>
          <w:b w:val="false"/>
          <w:bCs w:val="false"/>
          <w:sz w:val="24"/>
          <w:szCs w:val="24"/>
        </w:rPr>
        <w:t>Junto com a relação dos profissionais devem constar cópias autenticadas da inscrição no órgão competente, bem como demonstrar relação dos mesmos com a empresa licitante.</w:t>
      </w:r>
    </w:p>
    <w:p>
      <w:pPr>
        <w:pStyle w:val="Normal"/>
        <w:spacing w:lineRule="auto" w:line="276" w:before="57" w:after="57"/>
        <w:jc w:val="both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ListParagraph"/>
        <w:tabs>
          <w:tab w:val="clear" w:pos="720"/>
          <w:tab w:val="left" w:pos="567" w:leader="none"/>
        </w:tabs>
        <w:spacing w:lineRule="auto" w:line="276" w:before="57" w:after="57"/>
        <w:ind w:left="0" w:hanging="0"/>
        <w:contextualSpacing/>
        <w:jc w:val="both"/>
        <w:rPr/>
      </w:pPr>
      <w:r>
        <w:rPr>
          <w:rFonts w:cs="Verdana" w:ascii="Times New Roman" w:hAnsi="Times New Roman"/>
          <w:b/>
          <w:bCs/>
          <w:sz w:val="24"/>
          <w:szCs w:val="24"/>
          <w:lang w:eastAsia="ar-SA"/>
        </w:rPr>
        <w:t>13.7</w:t>
      </w:r>
      <w:r>
        <w:rPr>
          <w:rFonts w:cs="Verdana" w:ascii="Times New Roman" w:hAnsi="Times New Roman"/>
          <w:sz w:val="24"/>
          <w:szCs w:val="24"/>
          <w:lang w:eastAsia="ar-SA"/>
        </w:rPr>
        <w:t xml:space="preserve"> </w:t>
      </w:r>
      <w:r>
        <w:rPr>
          <w:rFonts w:cs="Verdana" w:ascii="Times New Roman" w:hAnsi="Times New Roman"/>
          <w:color w:val="000000"/>
          <w:sz w:val="24"/>
          <w:szCs w:val="24"/>
        </w:rPr>
        <w:t xml:space="preserve">Caso atendidas as condições de participação, </w:t>
      </w:r>
      <w:r>
        <w:rPr>
          <w:rFonts w:cs="Verdana" w:ascii="Times New Roman" w:hAnsi="Times New Roman"/>
          <w:sz w:val="24"/>
          <w:szCs w:val="24"/>
        </w:rPr>
        <w:t>a habilitação dos licitantes será verificada por meio do SICAF, nos documentos por ele abrangidos</w:t>
      </w:r>
      <w:r>
        <w:rPr>
          <w:rFonts w:cs="Verdana" w:ascii="Times New Roman" w:hAnsi="Times New Roman"/>
          <w:sz w:val="24"/>
          <w:szCs w:val="24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>
      <w:pPr>
        <w:pStyle w:val="ListParagraph"/>
        <w:spacing w:lineRule="auto" w:line="276" w:before="57" w:after="57"/>
        <w:ind w:left="0" w:hanging="0"/>
        <w:contextualSpacing/>
        <w:jc w:val="both"/>
        <w:rPr/>
      </w:pPr>
      <w:r>
        <w:rPr>
          <w:rFonts w:cs="Verdana" w:ascii="Times New Roman" w:hAnsi="Times New Roman"/>
          <w:b/>
          <w:bCs/>
          <w:color w:val="000000"/>
          <w:sz w:val="24"/>
          <w:szCs w:val="24"/>
          <w:lang w:eastAsia="ar-SA"/>
        </w:rPr>
        <w:t xml:space="preserve">13.7.1 </w:t>
      </w:r>
      <w:r>
        <w:rPr>
          <w:rFonts w:cs="Verdana" w:ascii="Times New Roman" w:hAnsi="Times New Roman"/>
          <w:b w:val="false"/>
          <w:bCs w:val="false"/>
          <w:color w:val="000000"/>
          <w:sz w:val="24"/>
          <w:szCs w:val="24"/>
          <w:lang w:eastAsia="ar-SA"/>
        </w:rPr>
        <w:t xml:space="preserve">Quando não for possível a verificação da regularidade no Sistema de Cadastro de Fornecedores – SICAF, o Agente de Contratações verificará a habilitação do fornecedor pelos documentos constantes nos itens </w:t>
      </w:r>
      <w:r>
        <w:rPr>
          <w:rFonts w:cs="Verdana" w:ascii="Times New Roman" w:hAnsi="Times New Roman"/>
          <w:b/>
          <w:bCs/>
          <w:color w:val="000000"/>
          <w:sz w:val="24"/>
          <w:szCs w:val="24"/>
          <w:lang w:eastAsia="ar-SA"/>
        </w:rPr>
        <w:t xml:space="preserve">13.6.1 </w:t>
      </w:r>
      <w:r>
        <w:rPr>
          <w:rFonts w:cs="Verdana" w:ascii="Times New Roman" w:hAnsi="Times New Roman"/>
          <w:b w:val="false"/>
          <w:bCs w:val="false"/>
          <w:color w:val="000000"/>
          <w:sz w:val="24"/>
          <w:szCs w:val="24"/>
          <w:lang w:eastAsia="ar-SA"/>
        </w:rPr>
        <w:t xml:space="preserve">e </w:t>
      </w:r>
      <w:r>
        <w:rPr>
          <w:rFonts w:cs="Verdana" w:ascii="Times New Roman" w:hAnsi="Times New Roman"/>
          <w:b/>
          <w:bCs/>
          <w:color w:val="000000"/>
          <w:sz w:val="24"/>
          <w:szCs w:val="24"/>
          <w:lang w:eastAsia="ar-SA"/>
        </w:rPr>
        <w:t>13.6.2</w:t>
      </w:r>
      <w:r>
        <w:rPr>
          <w:rFonts w:cs="Verdana" w:ascii="Times New Roman" w:hAnsi="Times New Roman"/>
          <w:b w:val="false"/>
          <w:bCs w:val="false"/>
          <w:color w:val="000000"/>
          <w:sz w:val="24"/>
          <w:szCs w:val="24"/>
          <w:lang w:eastAsia="ar-SA"/>
        </w:rPr>
        <w:t>.</w:t>
      </w:r>
    </w:p>
    <w:p>
      <w:pPr>
        <w:pStyle w:val="ListParagraph"/>
        <w:spacing w:lineRule="auto" w:line="276" w:before="57" w:after="57"/>
        <w:ind w:left="0" w:hanging="0"/>
        <w:contextualSpacing/>
        <w:jc w:val="both"/>
        <w:rPr>
          <w:rFonts w:ascii="Times New Roman" w:hAnsi="Times New Roman" w:cs="Verdana"/>
          <w:b w:val="false"/>
          <w:b w:val="false"/>
          <w:bCs w:val="false"/>
          <w:color w:val="000000"/>
          <w:sz w:val="24"/>
          <w:szCs w:val="24"/>
          <w:lang w:eastAsia="ar-SA"/>
        </w:rPr>
      </w:pPr>
      <w:r>
        <w:rPr>
          <w:rFonts w:cs="Verdana" w:ascii="Times New Roman" w:hAnsi="Times New Roman"/>
          <w:b w:val="false"/>
          <w:bCs w:val="false"/>
          <w:color w:val="000000"/>
          <w:sz w:val="24"/>
          <w:szCs w:val="24"/>
          <w:lang w:eastAsia="ar-SA"/>
        </w:rPr>
      </w:r>
    </w:p>
    <w:p>
      <w:pPr>
        <w:pStyle w:val="ListParagraph"/>
        <w:spacing w:lineRule="auto" w:line="276" w:before="57" w:after="57"/>
        <w:ind w:left="0" w:hanging="0"/>
        <w:contextualSpacing/>
        <w:jc w:val="both"/>
        <w:rPr>
          <w:rFonts w:ascii="Times New Roman" w:hAnsi="Times New Roman" w:cs="Verdana"/>
          <w:b w:val="false"/>
          <w:b w:val="false"/>
          <w:bCs w:val="false"/>
          <w:color w:val="000000"/>
          <w:sz w:val="24"/>
          <w:szCs w:val="24"/>
          <w:lang w:eastAsia="ar-SA"/>
        </w:rPr>
      </w:pPr>
      <w:r>
        <w:rPr>
          <w:rFonts w:cs="Verdana" w:ascii="Times New Roman" w:hAnsi="Times New Roman"/>
          <w:b w:val="false"/>
          <w:bCs w:val="false"/>
          <w:color w:val="000000"/>
          <w:sz w:val="24"/>
          <w:szCs w:val="24"/>
          <w:lang w:eastAsia="ar-SA"/>
        </w:rPr>
      </w:r>
    </w:p>
    <w:p>
      <w:pPr>
        <w:pStyle w:val="Normal"/>
        <w:spacing w:lineRule="auto" w:line="276"/>
        <w:jc w:val="both"/>
        <w:rPr>
          <w:rFonts w:ascii="Times New Roman" w:hAnsi="Times New Roman" w:cs="Arial"/>
          <w:b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</w:r>
    </w:p>
    <w:p>
      <w:pPr>
        <w:pStyle w:val="Normal"/>
        <w:spacing w:lineRule="auto" w:line="276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14.  ADEQUAÇÃO ORÇAMENTÁRIA</w:t>
      </w:r>
    </w:p>
    <w:p>
      <w:pPr>
        <w:pStyle w:val="Normal"/>
        <w:spacing w:lineRule="auto" w:line="276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ListParagraph"/>
        <w:spacing w:lineRule="auto" w:line="276"/>
        <w:ind w:left="0" w:hanging="0"/>
        <w:jc w:val="both"/>
        <w:rPr/>
      </w:pPr>
      <w:r>
        <w:rPr>
          <w:rFonts w:ascii="Times New Roman" w:hAnsi="Times New Roman"/>
          <w:b/>
          <w:bCs/>
          <w:sz w:val="24"/>
          <w:szCs w:val="24"/>
        </w:rPr>
        <w:t xml:space="preserve">14.1. </w:t>
      </w:r>
      <w:r>
        <w:rPr>
          <w:rFonts w:ascii="Times New Roman" w:hAnsi="Times New Roman"/>
          <w:sz w:val="24"/>
          <w:szCs w:val="24"/>
        </w:rPr>
        <w:t>As despesas decorrentes da presente contratação correrão à conta de recursos específicos consignados na Lei Orçamentária Anual, bem como requisição do sistema presente nos autos, sendo a contratação atendida pela seguinte dotação:</w:t>
      </w:r>
    </w:p>
    <w:p>
      <w:pPr>
        <w:pStyle w:val="Normal"/>
        <w:spacing w:lineRule="auto" w:line="276"/>
        <w:jc w:val="both"/>
        <w:rPr>
          <w:rFonts w:ascii="Times New Roman" w:hAnsi="Times New Roman" w:cs="Arial"/>
          <w:b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</w:r>
    </w:p>
    <w:p>
      <w:pPr>
        <w:pStyle w:val="Normal"/>
        <w:numPr>
          <w:ilvl w:val="0"/>
          <w:numId w:val="1"/>
        </w:numPr>
        <w:spacing w:lineRule="auto" w:line="276"/>
        <w:ind w:left="0" w:hanging="0"/>
        <w:jc w:val="both"/>
        <w:rPr>
          <w:rFonts w:ascii="Times New Roman" w:hAnsi="Times New Roman" w:cs="Arial"/>
          <w:sz w:val="24"/>
          <w:szCs w:val="24"/>
        </w:rPr>
      </w:pPr>
      <w:r>
        <w:rPr>
          <w:rFonts w:cs="Arial"/>
          <w:sz w:val="24"/>
          <w:szCs w:val="24"/>
        </w:rPr>
        <w:t>FICHA – FONTE: 0000654-180200000000.</w:t>
      </w:r>
    </w:p>
    <w:p>
      <w:pPr>
        <w:pStyle w:val="Normal"/>
        <w:spacing w:lineRule="auto" w:line="276"/>
        <w:ind w:left="0" w:hanging="0"/>
        <w:jc w:val="both"/>
        <w:rPr>
          <w:rFonts w:ascii="Times New Roman" w:hAnsi="Times New Roman" w:cs="Arial"/>
          <w:sz w:val="24"/>
          <w:szCs w:val="24"/>
        </w:rPr>
      </w:pPr>
      <w:r>
        <w:rPr>
          <w:rFonts w:cs="Arial"/>
          <w:sz w:val="24"/>
          <w:szCs w:val="24"/>
        </w:rPr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76"/>
        <w:jc w:val="both"/>
        <w:rPr>
          <w:rFonts w:ascii="Times New Roman" w:hAnsi="Times New Roman" w:cs="Arial"/>
          <w:b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>15. DO RESPONSÁVEL PELA ELABORAÇÃO DO TERMO DE REFERÊNCIA</w:t>
      </w:r>
    </w:p>
    <w:p>
      <w:pPr>
        <w:pStyle w:val="Normal"/>
        <w:spacing w:lineRule="auto" w:line="276" w:before="0" w:after="360"/>
        <w:jc w:val="both"/>
        <w:rPr/>
      </w:pPr>
      <w:r>
        <w:rPr>
          <w:rFonts w:cs="Arial"/>
          <w:b/>
          <w:bCs/>
          <w:color w:val="000000"/>
          <w:sz w:val="24"/>
          <w:szCs w:val="24"/>
        </w:rPr>
        <w:t>15.1</w:t>
      </w:r>
      <w:bookmarkStart w:id="13" w:name="page66R_mcid16"/>
      <w:r>
        <w:rPr>
          <w:rFonts w:cs="Arial"/>
          <w:color w:val="000000"/>
          <w:sz w:val="24"/>
          <w:szCs w:val="24"/>
        </w:rPr>
        <w:t>. Este Termo de Referência foi estruturado através do DFD – Documento de Formalização de Demanda elaborado pelo requisitante.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São Gabriel da Palha, 18 de novembro de 2024.</w:t>
      </w:r>
    </w:p>
    <w:p>
      <w:pPr>
        <w:pStyle w:val="Normal"/>
        <w:spacing w:lineRule="auto" w:line="276"/>
        <w:jc w:val="right"/>
        <w:rPr>
          <w:rFonts w:ascii="Times New Roman" w:hAnsi="Times New Roman" w:cs="Arial"/>
          <w:b/>
          <w:b/>
          <w:sz w:val="24"/>
          <w:szCs w:val="24"/>
          <w:u w:val="single"/>
        </w:rPr>
      </w:pPr>
      <w:r>
        <w:rPr>
          <w:rFonts w:cs="Arial"/>
          <w:b/>
          <w:sz w:val="24"/>
          <w:szCs w:val="24"/>
          <w:u w:val="single"/>
        </w:rPr>
      </w:r>
    </w:p>
    <w:p>
      <w:pPr>
        <w:pStyle w:val="Normal"/>
        <w:spacing w:lineRule="auto" w:line="276"/>
        <w:jc w:val="both"/>
        <w:rPr>
          <w:rFonts w:ascii="Times New Roman" w:hAnsi="Times New Roman" w:cs="Arial"/>
          <w:b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Elaborado por:</w:t>
      </w:r>
    </w:p>
    <w:p>
      <w:pPr>
        <w:pStyle w:val="Normal"/>
        <w:spacing w:lineRule="auto" w:line="276"/>
        <w:jc w:val="both"/>
        <w:rPr>
          <w:rFonts w:ascii="Times New Roman" w:hAnsi="Times New Roman" w:cs="Arial"/>
          <w:b/>
          <w:b/>
          <w:sz w:val="24"/>
          <w:szCs w:val="24"/>
          <w:u w:val="single"/>
        </w:rPr>
      </w:pPr>
      <w:r>
        <w:rPr>
          <w:rFonts w:cs="Arial"/>
          <w:b/>
          <w:sz w:val="24"/>
          <w:szCs w:val="24"/>
          <w:u w:val="single"/>
        </w:rPr>
      </w:r>
    </w:p>
    <w:p>
      <w:pPr>
        <w:pStyle w:val="Normal"/>
        <w:widowControl w:val="false"/>
        <w:suppressAutoHyphens w:val="true"/>
        <w:spacing w:lineRule="auto" w:line="276" w:before="0" w:after="0"/>
        <w:jc w:val="center"/>
        <w:rPr>
          <w:rFonts w:ascii="Times New Roman" w:hAnsi="Times New Roman"/>
          <w:kern w:val="0"/>
          <w:sz w:val="24"/>
          <w:szCs w:val="24"/>
          <w:lang w:val="pt-BR" w:bidi="ar-SA"/>
        </w:rPr>
      </w:pPr>
      <w:r>
        <w:rPr>
          <w:kern w:val="0"/>
          <w:sz w:val="24"/>
          <w:szCs w:val="24"/>
          <w:lang w:val="pt-BR" w:bidi="ar-SA"/>
        </w:rPr>
        <w:t>VALTER BONATTO</w:t>
      </w:r>
    </w:p>
    <w:p>
      <w:pPr>
        <w:pStyle w:val="Normal"/>
        <w:widowControl w:val="false"/>
        <w:suppressAutoHyphens w:val="true"/>
        <w:spacing w:lineRule="auto" w:line="276" w:before="0" w:after="0"/>
        <w:jc w:val="center"/>
        <w:rPr>
          <w:rFonts w:ascii="Times New Roman" w:hAnsi="Times New Roman"/>
          <w:kern w:val="0"/>
          <w:sz w:val="24"/>
          <w:szCs w:val="24"/>
          <w:lang w:val="pt-BR" w:bidi="ar-SA"/>
        </w:rPr>
      </w:pPr>
      <w:r>
        <w:rPr>
          <w:kern w:val="0"/>
          <w:sz w:val="24"/>
          <w:szCs w:val="24"/>
          <w:lang w:val="pt-BR" w:bidi="ar-SA"/>
        </w:rPr>
        <w:t>Responsável pela elaboração do Termo de Referência</w:t>
      </w:r>
    </w:p>
    <w:p>
      <w:pPr>
        <w:pStyle w:val="Normal"/>
        <w:widowControl w:val="false"/>
        <w:suppressAutoHyphens w:val="true"/>
        <w:spacing w:lineRule="auto" w:line="276" w:before="0" w:after="0"/>
        <w:jc w:val="center"/>
        <w:rPr>
          <w:rFonts w:ascii="Times New Roman" w:hAnsi="Times New Roman"/>
          <w:kern w:val="0"/>
          <w:sz w:val="24"/>
          <w:szCs w:val="24"/>
          <w:lang w:val="pt-BR" w:bidi="ar-SA"/>
        </w:rPr>
      </w:pPr>
      <w:r>
        <w:rPr>
          <w:kern w:val="0"/>
          <w:sz w:val="24"/>
          <w:szCs w:val="24"/>
          <w:lang w:val="pt-BR" w:bidi="ar-SA"/>
        </w:rPr>
        <w:t>Portaria nº 20/2024 – SGP-Prev</w:t>
      </w:r>
      <w:bookmarkEnd w:id="0"/>
      <w:bookmarkEnd w:id="7"/>
      <w:bookmarkEnd w:id="8"/>
      <w:bookmarkEnd w:id="13"/>
    </w:p>
    <w:sectPr>
      <w:headerReference w:type="default" r:id="rId7"/>
      <w:footerReference w:type="default" r:id="rId8"/>
      <w:type w:val="nextPage"/>
      <w:pgSz w:w="11906" w:h="16838"/>
      <w:pgMar w:left="1550" w:right="905" w:gutter="0" w:header="227" w:top="851" w:footer="567" w:bottom="851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mbria">
    <w:charset w:val="00"/>
    <w:family w:val="roman"/>
    <w:pitch w:val="variable"/>
  </w:font>
  <w:font w:name="Arial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Segoe UI">
    <w:charset w:val="00"/>
    <w:family w:val="roman"/>
    <w:pitch w:val="variable"/>
  </w:font>
  <w:font w:name="Ecofont_Spranq_eco_Sans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Verdana">
    <w:charset w:val="00"/>
    <w:family w:val="roman"/>
    <w:pitch w:val="variable"/>
  </w:font>
  <w:font w:name="Arial Narrow">
    <w:charset w:val="00"/>
    <w:family w:val="roman"/>
    <w:pitch w:val="variable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jc w:val="center"/>
      <w:rPr>
        <w:rFonts w:ascii="Calibri" w:hAnsi="Calibri"/>
        <w:sz w:val="22"/>
        <w:szCs w:val="22"/>
      </w:rPr>
    </w:pPr>
    <w:r>
      <w:rPr>
        <w:rFonts w:ascii="Calibri" w:hAnsi="Calibri"/>
        <w:sz w:val="22"/>
        <w:szCs w:val="22"/>
      </w:rPr>
      <w:t>Rua Catarina Glazar nº 166</w:t>
    </w:r>
    <w:r>
      <w:rPr>
        <w:rFonts w:ascii="Calibri" w:hAnsi="Calibri"/>
        <w:sz w:val="22"/>
        <w:szCs w:val="22"/>
      </w:rPr>
      <w:t xml:space="preserve"> – Glória – São Gabriel da Palha – CEP 29.780-000</w:t>
    </w:r>
  </w:p>
  <w:p>
    <w:pPr>
      <w:pStyle w:val="Rodap"/>
      <w:jc w:val="center"/>
      <w:rPr/>
    </w:pPr>
    <w:r>
      <w:rPr>
        <w:rStyle w:val="Nmerodepgina"/>
        <w:rFonts w:cs="Tahoma" w:ascii="Calibri" w:hAnsi="Calibri"/>
        <w:sz w:val="22"/>
        <w:szCs w:val="22"/>
      </w:rPr>
      <w:t xml:space="preserve"> </w:t>
    </w:r>
    <w:r>
      <w:rPr>
        <w:rStyle w:val="Nmerodepgina"/>
        <w:rFonts w:cs="Tahoma" w:ascii="Calibri" w:hAnsi="Calibri"/>
        <w:sz w:val="22"/>
        <w:szCs w:val="22"/>
      </w:rPr>
      <w:t xml:space="preserve">Telefone: (27) 3727-1697 - CNPJ 05.251.479/0001-52 E-mail:  </w:t>
    </w:r>
    <w:hyperlink r:id="rId1">
      <w:r>
        <w:rPr>
          <w:rStyle w:val="LinkdaInternet"/>
          <w:rFonts w:cs="Tahoma" w:ascii="Calibri" w:hAnsi="Calibri"/>
          <w:sz w:val="22"/>
          <w:szCs w:val="22"/>
        </w:rPr>
        <w:t>saogabrielprev@gmail.com</w:t>
      </w:r>
    </w:hyperlink>
    <w:r>
      <w:rPr>
        <w:rStyle w:val="Nmerodepgina"/>
        <w:rFonts w:cs="Tahoma" w:ascii="Calibri" w:hAnsi="Calibri"/>
        <w:sz w:val="22"/>
        <w:szCs w:val="22"/>
      </w:rPr>
      <w:t xml:space="preserve"> 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>
        <w:rFonts w:ascii="Verdana" w:hAnsi="Verdana"/>
        <w:sz w:val="26"/>
        <w:szCs w:val="26"/>
      </w:rPr>
    </w:pPr>
    <w:r>
      <w:rPr>
        <w:rFonts w:ascii="Verdana" w:hAnsi="Verdana"/>
        <w:sz w:val="26"/>
        <w:szCs w:val="26"/>
      </w:rPr>
    </w:r>
  </w:p>
  <w:p>
    <w:pPr>
      <w:pStyle w:val="Cabealho"/>
      <w:jc w:val="center"/>
      <w:rPr>
        <w:sz w:val="22"/>
        <w:szCs w:val="22"/>
      </w:rPr>
    </w:pPr>
    <w:r>
      <w:rPr/>
      <w:drawing>
        <wp:inline distT="0" distB="0" distL="0" distR="0">
          <wp:extent cx="828675" cy="552450"/>
          <wp:effectExtent l="0" t="0" r="0" b="0"/>
          <wp:docPr id="1" name="Imagem 1 Copia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 Copia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3" t="-14" r="-13" b="-14"/>
                  <a:stretch>
                    <a:fillRect/>
                  </a:stretch>
                </pic:blipFill>
                <pic:spPr bwMode="auto">
                  <a:xfrm>
                    <a:off x="0" y="0"/>
                    <a:ext cx="828675" cy="552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Cabealho"/>
      <w:jc w:val="center"/>
      <w:rPr>
        <w:rFonts w:ascii="Calibri" w:hAnsi="Calibri"/>
        <w:b/>
        <w:b/>
      </w:rPr>
    </w:pPr>
    <w:r>
      <w:rPr>
        <w:b/>
        <w:sz w:val="22"/>
        <w:szCs w:val="22"/>
      </w:rPr>
      <w:t>INSTITUTO DE PREVIDÊNCIA DOS SERVIDORES PÚBLICOS</w:t>
    </w:r>
  </w:p>
  <w:p>
    <w:pPr>
      <w:pStyle w:val="Cabealho"/>
      <w:jc w:val="center"/>
      <w:rPr>
        <w:rFonts w:ascii="Calibri" w:hAnsi="Calibri"/>
        <w:b/>
        <w:b/>
      </w:rPr>
    </w:pPr>
    <w:r>
      <w:rPr>
        <w:b/>
        <w:sz w:val="22"/>
        <w:szCs w:val="22"/>
      </w:rPr>
      <w:t>DO MUNICÍPIO DE SÃO GABRIEL DA PALHA</w:t>
    </w:r>
  </w:p>
  <w:p>
    <w:pPr>
      <w:pStyle w:val="Cabealho"/>
      <w:jc w:val="center"/>
      <w:rPr>
        <w:rFonts w:ascii="Calibri" w:hAnsi="Calibri" w:eastAsia="sans-serif" w:cs="Verdana"/>
        <w:b/>
        <w:b/>
        <w:bCs/>
        <w:lang w:val="pt-BR"/>
      </w:rPr>
    </w:pPr>
    <w:r>
      <w:rPr>
        <w:rFonts w:eastAsia="sans-serif" w:cs="Verdana" w:ascii="Arial Narrow" w:hAnsi="Arial Narrow"/>
        <w:b/>
        <w:bCs/>
        <w:sz w:val="22"/>
        <w:szCs w:val="22"/>
        <w:lang w:val="pt-BR"/>
      </w:rPr>
      <w:t>Estado do Espírito Santo</w:t>
    </w:r>
  </w:p>
  <w:p>
    <w:pPr>
      <w:pStyle w:val="Normal"/>
      <w:jc w:val="center"/>
      <w:rPr>
        <w:rFonts w:ascii="Arial Narrow" w:hAnsi="Arial Narrow"/>
        <w:b/>
        <w:b/>
        <w:sz w:val="20"/>
      </w:rPr>
    </w:pPr>
    <w:r>
      <w:rPr>
        <w:rFonts w:ascii="Arial Narrow" w:hAnsi="Arial Narrow"/>
        <w:b/>
        <w:sz w:val="20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425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e18ec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pt-BR" w:eastAsia="pt-BR" w:bidi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537254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2e18ec"/>
    <w:rPr/>
  </w:style>
  <w:style w:type="character" w:styleId="CabealhoChar" w:customStyle="1">
    <w:name w:val="Cabeçalho Char"/>
    <w:basedOn w:val="DefaultParagraphFont"/>
    <w:qFormat/>
    <w:rsid w:val="002e18ec"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styleId="RodapChar" w:customStyle="1">
    <w:name w:val="Rodapé Char"/>
    <w:basedOn w:val="DefaultParagraphFont"/>
    <w:qFormat/>
    <w:rsid w:val="002e18ec"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styleId="A6" w:customStyle="1">
    <w:name w:val="A6"/>
    <w:qFormat/>
    <w:rPr>
      <w:color w:val="000000"/>
      <w:sz w:val="18"/>
      <w:u w:val="single"/>
    </w:rPr>
  </w:style>
  <w:style w:type="character" w:styleId="LinkdaInternet" w:customStyle="1">
    <w:name w:val="Hyperlink"/>
    <w:rPr>
      <w:color w:val="000080"/>
      <w:u w:val="single"/>
    </w:rPr>
  </w:style>
  <w:style w:type="character" w:styleId="CorpodetextoChar" w:customStyle="1">
    <w:name w:val="Corpo de texto Char"/>
    <w:basedOn w:val="DefaultParagraphFont"/>
    <w:qFormat/>
    <w:rsid w:val="004568f3"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styleId="CitaoChar" w:customStyle="1">
    <w:name w:val="Citação Char"/>
    <w:basedOn w:val="DefaultParagraphFont"/>
    <w:link w:val="Quote"/>
    <w:qFormat/>
    <w:rsid w:val="00537254"/>
    <w:rPr>
      <w:rFonts w:ascii="Arial" w:hAnsi="Arial" w:eastAsia="Calibri" w:cs="Tahoma"/>
      <w:i/>
      <w:iCs/>
      <w:color w:val="000000"/>
      <w:sz w:val="20"/>
      <w:szCs w:val="24"/>
      <w:shd w:fill="FFFFCC" w:val="clear"/>
    </w:rPr>
  </w:style>
  <w:style w:type="character" w:styleId="Nivel1Char" w:customStyle="1">
    <w:name w:val="Nivel1 Char"/>
    <w:basedOn w:val="DefaultParagraphFont"/>
    <w:link w:val="Nivel1"/>
    <w:qFormat/>
    <w:locked/>
    <w:rsid w:val="00537254"/>
    <w:rPr>
      <w:rFonts w:ascii="Arial" w:hAnsi="Arial" w:eastAsia="" w:cs="Arial" w:eastAsiaTheme="majorEastAsia"/>
      <w:b/>
      <w:color w:val="000000"/>
      <w:sz w:val="32"/>
      <w:szCs w:val="32"/>
    </w:rPr>
  </w:style>
  <w:style w:type="character" w:styleId="Nivel2Char" w:customStyle="1">
    <w:name w:val="Nivel 2 Char"/>
    <w:basedOn w:val="DefaultParagraphFont"/>
    <w:link w:val="Nivel2"/>
    <w:qFormat/>
    <w:locked/>
    <w:rsid w:val="00537254"/>
    <w:rPr>
      <w:rFonts w:ascii="Arial" w:hAnsi="Arial" w:cs="Arial"/>
      <w:color w:val="000000"/>
    </w:rPr>
  </w:style>
  <w:style w:type="character" w:styleId="Strong" w:customStyle="1">
    <w:name w:val="Strong"/>
    <w:qFormat/>
    <w:rPr>
      <w:b/>
      <w:bCs/>
    </w:rPr>
  </w:style>
  <w:style w:type="character" w:styleId="Ttulo1Char" w:customStyle="1">
    <w:name w:val="Título 1 Char"/>
    <w:basedOn w:val="DefaultParagraphFont"/>
    <w:uiPriority w:val="9"/>
    <w:qFormat/>
    <w:rsid w:val="00537254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  <w:lang w:eastAsia="pt-BR"/>
    </w:rPr>
  </w:style>
  <w:style w:type="character" w:styleId="Marcadores" w:customStyle="1">
    <w:name w:val="Marcadores"/>
    <w:qFormat/>
    <w:rPr>
      <w:rFonts w:ascii="OpenSymbol" w:hAnsi="OpenSymbol" w:eastAsia="OpenSymbol" w:cs="OpenSymbol"/>
    </w:rPr>
  </w:style>
  <w:style w:type="character" w:styleId="Fontepargpadro1">
    <w:name w:val="Fonte parág. padrão1"/>
    <w:qFormat/>
    <w:rPr/>
  </w:style>
  <w:style w:type="character" w:styleId="Nmerodepgina">
    <w:name w:val="Page Number"/>
    <w:basedOn w:val="Fontepargpadro1"/>
    <w:rPr/>
  </w:style>
  <w:style w:type="character" w:styleId="WW8Num13z2">
    <w:name w:val="WW8Num13z2"/>
    <w:qFormat/>
    <w:rPr/>
  </w:style>
  <w:style w:type="character" w:styleId="UnresolvedMention">
    <w:name w:val="Unresolved Mention"/>
    <w:qFormat/>
    <w:rPr>
      <w:rFonts w:ascii="Times New Roman" w:hAnsi="Times New Roman" w:eastAsia="Times New Roman" w:cs="Times New Roman"/>
      <w:color w:val="605E5C"/>
      <w:sz w:val="24"/>
      <w:szCs w:val="24"/>
      <w:shd w:fill="E1DFDD" w:val="clear"/>
    </w:rPr>
  </w:style>
  <w:style w:type="character" w:styleId="TextodebaloChar">
    <w:name w:val="Texto de balão Char"/>
    <w:qFormat/>
    <w:rPr>
      <w:rFonts w:ascii="Segoe UI" w:hAnsi="Segoe UI" w:eastAsia="Times New Roman" w:cs="Segoe UI"/>
      <w:color w:val="000000"/>
      <w:sz w:val="18"/>
      <w:szCs w:val="18"/>
    </w:rPr>
  </w:style>
  <w:style w:type="character" w:styleId="Nivel4Char">
    <w:name w:val="Nivel 4 Char"/>
    <w:qFormat/>
    <w:rPr>
      <w:rFonts w:ascii="Ecofont_Spranq_eco_Sans" w:hAnsi="Ecofont_Spranq_eco_Sans" w:eastAsia="Arial Unicode MS"/>
      <w:color w:val="000000"/>
      <w:sz w:val="20"/>
      <w:szCs w:val="20"/>
    </w:rPr>
  </w:style>
  <w:style w:type="character" w:styleId="AssuntodocomentrioChar">
    <w:name w:val="Assunto do comentário Char"/>
    <w:qFormat/>
    <w:rPr>
      <w:rFonts w:ascii="Arial" w:hAnsi="Arial" w:eastAsia="Times New Roman" w:cs="Tahoma"/>
      <w:b/>
      <w:bCs/>
      <w:color w:val="000000"/>
      <w:sz w:val="20"/>
      <w:szCs w:val="20"/>
    </w:rPr>
  </w:style>
  <w:style w:type="character" w:styleId="TextodecomentrioChar">
    <w:name w:val="Texto de comentário Char"/>
    <w:qFormat/>
    <w:rPr>
      <w:rFonts w:ascii="Arial" w:hAnsi="Arial" w:eastAsia="Times New Roman" w:cs="Tahoma"/>
      <w:color w:val="000000"/>
      <w:sz w:val="20"/>
      <w:szCs w:val="20"/>
    </w:rPr>
  </w:style>
  <w:style w:type="character" w:styleId="Annotationreference">
    <w:name w:val="annotation reference"/>
    <w:qFormat/>
    <w:rPr>
      <w:rFonts w:ascii="Times New Roman" w:hAnsi="Times New Roman" w:eastAsia="Times New Roman" w:cs="Times New Roman"/>
      <w:color w:val="000000"/>
      <w:sz w:val="16"/>
      <w:szCs w:val="16"/>
    </w:rPr>
  </w:style>
  <w:style w:type="character" w:styleId="QuoteChar">
    <w:name w:val="Quote Char"/>
    <w:qFormat/>
    <w:rPr>
      <w:rFonts w:ascii="Ecofont_Spranq_eco_Sans" w:hAnsi="Ecofont_Spranq_eco_Sans" w:eastAsia="Calibri" w:cs="Tahoma"/>
      <w:i/>
      <w:iCs/>
      <w:color w:val="000000"/>
      <w:sz w:val="24"/>
      <w:szCs w:val="24"/>
      <w:shd w:fill="FFFFCC" w:val="clear"/>
    </w:rPr>
  </w:style>
  <w:style w:type="character" w:styleId="Citao2Char">
    <w:name w:val="citação 2 Char"/>
    <w:qFormat/>
    <w:rPr>
      <w:rFonts w:ascii="Arial" w:hAnsi="Arial" w:eastAsia="Calibri" w:cs="Tahoma"/>
      <w:i/>
      <w:iCs/>
      <w:color w:val="000000"/>
      <w:sz w:val="20"/>
      <w:szCs w:val="20"/>
      <w:shd w:fill="FFFFCC" w:val="clear"/>
    </w:rPr>
  </w:style>
  <w:style w:type="character" w:styleId="Nivel01Char">
    <w:name w:val="Nivel 01 Char"/>
    <w:basedOn w:val="Ttulo1Char"/>
    <w:qFormat/>
    <w:rPr>
      <w:rFonts w:ascii="Arial" w:hAnsi="Arial" w:cs="Times New Roman"/>
      <w:b/>
      <w:bCs/>
      <w:color w:val="000000"/>
      <w:sz w:val="20"/>
      <w:szCs w:val="20"/>
    </w:rPr>
  </w:style>
  <w:style w:type="character" w:styleId="WW8Num6z0">
    <w:name w:val="WW8Num6z0"/>
    <w:qFormat/>
    <w:rPr>
      <w:rFonts w:ascii="Symbol" w:hAnsi="Symbol" w:cs="OpenSymbol;Arial Unicode MS"/>
    </w:rPr>
  </w:style>
  <w:style w:type="character" w:styleId="Linkdainternetvisitado">
    <w:name w:val="FollowedHyperlink"/>
    <w:rPr>
      <w:color w:val="800080"/>
      <w:u w:val="single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link w:val="CorpodetextoChar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Lucida Sans"/>
    </w:rPr>
  </w:style>
  <w:style w:type="paragraph" w:styleId="Ttulododocumento">
    <w:name w:val="Title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CabealhoeRodap" w:customStyle="1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rsid w:val="002e18ec"/>
    <w:pPr>
      <w:tabs>
        <w:tab w:val="clear" w:pos="720"/>
        <w:tab w:val="center" w:pos="4419" w:leader="none"/>
        <w:tab w:val="right" w:pos="8838" w:leader="none"/>
      </w:tabs>
    </w:pPr>
    <w:rPr/>
  </w:style>
  <w:style w:type="paragraph" w:styleId="Rodap">
    <w:name w:val="Footer"/>
    <w:basedOn w:val="Normal"/>
    <w:link w:val="RodapChar"/>
    <w:rsid w:val="002e18ec"/>
    <w:pPr>
      <w:tabs>
        <w:tab w:val="clear" w:pos="720"/>
        <w:tab w:val="center" w:pos="4419" w:leader="none"/>
        <w:tab w:val="right" w:pos="8838" w:leader="none"/>
      </w:tabs>
    </w:pPr>
    <w:rPr/>
  </w:style>
  <w:style w:type="paragraph" w:styleId="ListParagraph">
    <w:name w:val="List Paragraph"/>
    <w:basedOn w:val="Normal"/>
    <w:qFormat/>
    <w:pPr>
      <w:spacing w:lineRule="auto" w:line="276" w:before="0" w:after="200"/>
      <w:ind w:left="720" w:hanging="0"/>
      <w:contextualSpacing/>
    </w:pPr>
    <w:rPr>
      <w:rFonts w:ascii="Calibri" w:hAnsi="Calibri" w:eastAsia="Calibri" w:cs="Calibri"/>
      <w:sz w:val="22"/>
      <w:szCs w:val="22"/>
    </w:rPr>
  </w:style>
  <w:style w:type="paragraph" w:styleId="Tabelanormal1" w:customStyle="1">
    <w:name w:val="Tabela normal1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Times New Roman" w:hAnsi="Times New Roman" w:eastAsia="Tahoma" w:cs="Times New Roman"/>
      <w:color w:val="auto"/>
      <w:kern w:val="0"/>
      <w:sz w:val="20"/>
      <w:szCs w:val="20"/>
      <w:lang w:val="pt-BR" w:eastAsia="pt-BR" w:bidi="ar-SA"/>
    </w:rPr>
  </w:style>
  <w:style w:type="paragraph" w:styleId="Quote">
    <w:name w:val="Quote"/>
    <w:basedOn w:val="Normal"/>
    <w:next w:val="Normal"/>
    <w:link w:val="CitaoChar"/>
    <w:qFormat/>
    <w:rsid w:val="00537254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false"/>
      <w:spacing w:before="120" w:after="0"/>
      <w:jc w:val="both"/>
    </w:pPr>
    <w:rPr>
      <w:rFonts w:ascii="Arial" w:hAnsi="Arial" w:eastAsia="Calibri" w:cs="Tahoma"/>
      <w:i/>
      <w:iCs/>
      <w:color w:val="000000"/>
      <w:sz w:val="20"/>
      <w:szCs w:val="24"/>
      <w:lang w:eastAsia="en-US"/>
    </w:rPr>
  </w:style>
  <w:style w:type="paragraph" w:styleId="Nivel1" w:customStyle="1">
    <w:name w:val="Nivel1"/>
    <w:basedOn w:val="Ttulo1"/>
    <w:next w:val="Normal"/>
    <w:link w:val="Nivel1Char"/>
    <w:qFormat/>
    <w:rsid w:val="00537254"/>
    <w:pPr>
      <w:suppressAutoHyphens w:val="false"/>
      <w:spacing w:lineRule="auto" w:line="276" w:before="480" w:after="120"/>
      <w:jc w:val="both"/>
      <w:outlineLvl w:val="9"/>
    </w:pPr>
    <w:rPr>
      <w:rFonts w:ascii="Arial" w:hAnsi="Arial" w:cs="Arial"/>
      <w:bCs w:val="false"/>
      <w:color w:val="000000"/>
      <w:sz w:val="32"/>
      <w:szCs w:val="32"/>
      <w:lang w:eastAsia="en-US"/>
    </w:rPr>
  </w:style>
  <w:style w:type="paragraph" w:styleId="Standard" w:customStyle="1">
    <w:name w:val="Standard"/>
    <w:qFormat/>
    <w:rsid w:val="00537254"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pt-BR" w:eastAsia="zh-CN" w:bidi="hi-IN"/>
    </w:rPr>
  </w:style>
  <w:style w:type="paragraph" w:styleId="Citao2" w:customStyle="1">
    <w:name w:val="citação 2"/>
    <w:basedOn w:val="Quote"/>
    <w:qFormat/>
    <w:rsid w:val="00537254"/>
    <w:pPr>
      <w:suppressAutoHyphens w:val="true"/>
    </w:pPr>
    <w:rPr>
      <w:kern w:val="2"/>
      <w:szCs w:val="20"/>
      <w:lang w:eastAsia="zh-CN" w:bidi="hi-IN"/>
    </w:rPr>
  </w:style>
  <w:style w:type="paragraph" w:styleId="Nivel2" w:customStyle="1">
    <w:name w:val="Nivel 2"/>
    <w:basedOn w:val="Normal"/>
    <w:link w:val="Nivel2Char"/>
    <w:qFormat/>
    <w:rsid w:val="00537254"/>
    <w:pPr>
      <w:suppressAutoHyphens w:val="false"/>
      <w:spacing w:lineRule="auto" w:line="276" w:before="120" w:after="120"/>
      <w:jc w:val="both"/>
    </w:pPr>
    <w:rPr>
      <w:rFonts w:ascii="Arial" w:hAnsi="Arial" w:eastAsia="Calibri" w:cs="Arial" w:eastAsiaTheme="minorHAnsi"/>
      <w:color w:val="000000"/>
      <w:sz w:val="22"/>
      <w:szCs w:val="22"/>
      <w:lang w:eastAsia="en-US"/>
    </w:rPr>
  </w:style>
  <w:style w:type="paragraph" w:styleId="Nivel3" w:customStyle="1">
    <w:name w:val="Nivel 3"/>
    <w:basedOn w:val="ListParagraph"/>
    <w:qFormat/>
    <w:rsid w:val="00537254"/>
    <w:pPr>
      <w:tabs>
        <w:tab w:val="clear" w:pos="720"/>
        <w:tab w:val="left" w:pos="360" w:leader="none"/>
      </w:tabs>
      <w:suppressAutoHyphens w:val="false"/>
      <w:spacing w:before="120" w:after="120"/>
      <w:ind w:left="425" w:hanging="0"/>
      <w:contextualSpacing/>
      <w:jc w:val="both"/>
    </w:pPr>
    <w:rPr>
      <w:rFonts w:ascii="Arial" w:hAnsi="Arial" w:cs="Arial"/>
      <w:sz w:val="20"/>
    </w:rPr>
  </w:style>
  <w:style w:type="paragraph" w:styleId="Contedodatabela" w:customStyle="1">
    <w:name w:val="Conteúdo da tabela"/>
    <w:basedOn w:val="Normal"/>
    <w:qFormat/>
    <w:pPr/>
    <w:rPr/>
  </w:style>
  <w:style w:type="paragraph" w:styleId="Default" w:customStyle="1">
    <w:name w:val="Default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t-BR" w:eastAsia="zh-CN" w:bidi="ar-SA"/>
    </w:rPr>
  </w:style>
  <w:style w:type="paragraph" w:styleId="Nivel01" w:customStyle="1">
    <w:name w:val="Nivel 01"/>
    <w:basedOn w:val="Ttulo1"/>
    <w:qFormat/>
    <w:pPr>
      <w:tabs>
        <w:tab w:val="clear" w:pos="720"/>
        <w:tab w:val="left" w:pos="567" w:leader="none"/>
      </w:tabs>
      <w:spacing w:before="240" w:after="0"/>
      <w:jc w:val="both"/>
      <w:outlineLvl w:val="9"/>
    </w:pPr>
    <w:rPr>
      <w:rFonts w:ascii="Ecofont_Spranq_eco_Sans" w:hAnsi="Ecofont_Spranq_eco_Sans" w:eastAsia="MS Gothic" w:cs="Times New Roman"/>
      <w:color w:val="000000"/>
      <w:sz w:val="20"/>
      <w:szCs w:val="20"/>
    </w:rPr>
  </w:style>
  <w:style w:type="paragraph" w:styleId="PADRO" w:customStyle="1">
    <w:name w:val="PADRÃO"/>
    <w:qFormat/>
    <w:pPr>
      <w:keepNext w:val="true"/>
      <w:widowControl w:val="false"/>
      <w:shd w:val="clear" w:color="auto" w:fill="FFFFFF"/>
      <w:suppressAutoHyphens w:val="true"/>
      <w:bidi w:val="0"/>
      <w:spacing w:lineRule="auto" w:line="276" w:before="119" w:after="119"/>
      <w:ind w:firstLine="567"/>
      <w:jc w:val="both"/>
      <w:textAlignment w:val="baseline"/>
    </w:pPr>
    <w:rPr>
      <w:rFonts w:ascii="Ecofont_Spranq_eco_Sans" w:hAnsi="Ecofont_Spranq_eco_Sans" w:eastAsia="WenQuanYi Micro Hei" w:cs="Lohit Hindi"/>
      <w:color w:val="auto"/>
      <w:kern w:val="0"/>
      <w:sz w:val="24"/>
      <w:szCs w:val="24"/>
      <w:lang w:val="pt-BR" w:eastAsia="zh-CN" w:bidi="hi-IN"/>
    </w:rPr>
  </w:style>
  <w:style w:type="paragraph" w:styleId="Ttulodetabela" w:customStyle="1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styleId="PargrafodaLista">
    <w:name w:val="Parágrafo da Lista"/>
    <w:basedOn w:val="Normal"/>
    <w:qFormat/>
    <w:pPr>
      <w:spacing w:lineRule="auto" w:line="276" w:before="0" w:after="200"/>
      <w:ind w:left="720" w:right="0" w:hanging="0"/>
      <w:contextualSpacing/>
    </w:pPr>
    <w:rPr>
      <w:rFonts w:ascii="Calibri" w:hAnsi="Calibri" w:eastAsia="Calibri" w:cs="Calibri"/>
      <w:sz w:val="22"/>
      <w:szCs w:val="22"/>
    </w:rPr>
  </w:style>
  <w:style w:type="paragraph" w:styleId="AvisoClusulaPrincipal">
    <w:name w:val="Aviso - Cláusula Principal"/>
    <w:basedOn w:val="Ttulo1"/>
    <w:qFormat/>
    <w:pPr>
      <w:keepNext w:val="true"/>
      <w:keepLines/>
      <w:spacing w:lineRule="auto" w:line="360" w:before="240" w:after="240"/>
      <w:ind w:right="-30" w:hanging="0"/>
      <w:jc w:val="both"/>
    </w:pPr>
    <w:rPr>
      <w:rFonts w:ascii="Arial" w:hAnsi="Arial" w:eastAsia="Times New Roman"/>
      <w:b/>
      <w:color w:val="000000"/>
    </w:rPr>
  </w:style>
  <w:style w:type="paragraph" w:styleId="BalloonText">
    <w:name w:val="Balloon Text"/>
    <w:basedOn w:val="Normal"/>
    <w:qFormat/>
    <w:pPr/>
    <w:rPr>
      <w:rFonts w:ascii="Segoe UI" w:hAnsi="Segoe UI" w:cs="Segoe UI"/>
      <w:sz w:val="18"/>
      <w:szCs w:val="18"/>
    </w:rPr>
  </w:style>
  <w:style w:type="paragraph" w:styleId="Nivel5">
    <w:name w:val="Nivel 5"/>
    <w:qFormat/>
    <w:pPr>
      <w:widowControl/>
      <w:tabs>
        <w:tab w:val="clear" w:pos="720"/>
        <w:tab w:val="left" w:pos="360" w:leader="none"/>
      </w:tabs>
      <w:suppressAutoHyphens w:val="true"/>
      <w:bidi w:val="0"/>
      <w:spacing w:lineRule="auto" w:line="276" w:before="120" w:after="120"/>
      <w:jc w:val="both"/>
    </w:pPr>
    <w:rPr>
      <w:rFonts w:ascii="Ecofont_Spranq_eco_Sans" w:hAnsi="Ecofont_Spranq_eco_Sans" w:eastAsia="Arial Unicode MS" w:cs="" w:cstheme="minorBidi"/>
      <w:color w:val="auto"/>
      <w:kern w:val="0"/>
      <w:sz w:val="20"/>
      <w:szCs w:val="20"/>
      <w:lang w:val="pt-BR" w:eastAsia="en-US" w:bidi="ar-SA"/>
    </w:rPr>
  </w:style>
  <w:style w:type="paragraph" w:styleId="Nivel4">
    <w:name w:val="Nivel 4"/>
    <w:qFormat/>
    <w:pPr>
      <w:widowControl/>
      <w:suppressAutoHyphens w:val="true"/>
      <w:bidi w:val="0"/>
      <w:spacing w:lineRule="auto" w:line="276" w:before="120" w:after="120"/>
      <w:jc w:val="both"/>
    </w:pPr>
    <w:rPr>
      <w:rFonts w:ascii="Ecofont_Spranq_eco_Sans" w:hAnsi="Ecofont_Spranq_eco_Sans" w:eastAsia="Arial Unicode MS" w:cs="" w:cstheme="minorBidi"/>
      <w:color w:val="auto"/>
      <w:kern w:val="0"/>
      <w:sz w:val="20"/>
      <w:szCs w:val="20"/>
      <w:lang w:val="pt-BR" w:eastAsia="en-US" w:bidi="ar-SA"/>
    </w:rPr>
  </w:style>
  <w:style w:type="paragraph" w:styleId="Nivel11">
    <w:name w:val="Nivel 1"/>
    <w:qFormat/>
    <w:pPr>
      <w:widowControl/>
      <w:suppressAutoHyphens w:val="true"/>
      <w:bidi w:val="0"/>
      <w:spacing w:lineRule="auto" w:line="276" w:before="120" w:after="120"/>
      <w:jc w:val="both"/>
    </w:pPr>
    <w:rPr>
      <w:rFonts w:ascii="Ecofont_Spranq_eco_Sans" w:hAnsi="Ecofont_Spranq_eco_Sans" w:eastAsia="Arial Unicode MS" w:cs="" w:cstheme="minorBidi"/>
      <w:b/>
      <w:color w:val="auto"/>
      <w:kern w:val="0"/>
      <w:sz w:val="20"/>
      <w:szCs w:val="20"/>
      <w:lang w:val="pt-BR" w:eastAsia="en-US" w:bidi="ar-SA"/>
    </w:rPr>
  </w:style>
  <w:style w:type="paragraph" w:styleId="Annotationsubject">
    <w:name w:val="annotation subject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b/>
      <w:bCs/>
      <w:color w:val="auto"/>
      <w:kern w:val="0"/>
      <w:sz w:val="22"/>
      <w:szCs w:val="20"/>
      <w:lang w:val="pt-BR" w:eastAsia="en-US" w:bidi="ar-SA"/>
    </w:rPr>
  </w:style>
  <w:style w:type="paragraph" w:styleId="Annotationtext">
    <w:name w:val="annotation text"/>
    <w:basedOn w:val="Normal"/>
    <w:qFormat/>
    <w:pPr/>
    <w:rPr>
      <w:szCs w:val="20"/>
    </w:rPr>
  </w:style>
  <w:style w:type="paragraph" w:styleId="Citao1">
    <w:name w:val="Citação1"/>
    <w:basedOn w:val="Normal"/>
    <w:next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fill="FFFFCC"/>
      <w:spacing w:before="120" w:after="0"/>
      <w:jc w:val="both"/>
    </w:pPr>
    <w:rPr>
      <w:rFonts w:ascii="Ecofont_Spranq_eco_Sans" w:hAnsi="Ecofont_Spranq_eco_Sans" w:eastAsia="Calibri"/>
      <w:i/>
      <w:iCs/>
      <w:color w:val="000000"/>
      <w:sz w:val="22"/>
      <w:szCs w:val="22"/>
      <w:lang w:eastAsia="en-US"/>
    </w:rPr>
  </w:style>
  <w:style w:type="paragraph" w:styleId="SemEspaamento">
    <w:name w:val="Sem Espaçamento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2"/>
      <w:lang w:val="pt-BR" w:eastAsia="zh-CN" w:bidi="ar-SA"/>
    </w:rPr>
  </w:style>
  <w:style w:type="paragraph" w:styleId="Nvel1SemNum">
    <w:name w:val="Nível 1-Sem Num"/>
    <w:basedOn w:val="Nivel01"/>
    <w:qFormat/>
    <w:pPr/>
    <w:rPr>
      <w:color w:val="FF0000"/>
    </w:rPr>
  </w:style>
  <w:style w:type="paragraph" w:styleId="Nvel1SemNumPreto">
    <w:name w:val="Nível 1-Sem Num Preto"/>
    <w:basedOn w:val="Nvel1SemNum"/>
    <w:qFormat/>
    <w:pPr/>
    <w:rPr>
      <w:color w:val="auto"/>
      <w:lang w:eastAsia="zh-CN" w:bidi="hi-IN"/>
    </w:rPr>
  </w:style>
  <w:style w:type="numbering" w:styleId="NoList" w:default="1">
    <w:name w:val="No List"/>
    <w:uiPriority w:val="99"/>
    <w:semiHidden/>
    <w:unhideWhenUsed/>
    <w:qFormat/>
  </w:style>
  <w:style w:type="numbering" w:styleId="WW8Num6">
    <w:name w:val="WW8Num6"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39"/>
    <w:rsid w:val="0053725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planalto.gov.br/ccivil_03/leis/lcp/lcp123.htm" TargetMode="External"/><Relationship Id="rId3" Type="http://schemas.openxmlformats.org/officeDocument/2006/relationships/hyperlink" Target="http://www.cnj.jus.br/improbidade_adm/consultar_requerido.php" TargetMode="External"/><Relationship Id="rId4" Type="http://schemas.openxmlformats.org/officeDocument/2006/relationships/hyperlink" Target="https://www.tcees.tc.br/portal-da-transparencia/consultas/lista-de" TargetMode="External"/><Relationship Id="rId5" Type="http://schemas.openxmlformats.org/officeDocument/2006/relationships/hyperlink" Target="https://certidoesapf.apps.tcu.gov.br/" TargetMode="External"/><Relationship Id="rId6" Type="http://schemas.openxmlformats.org/officeDocument/2006/relationships/hyperlink" Target="http://www.portaldoempreendedor.gov.br/" TargetMode="Externa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hyperlink" Target="mailto:saogabrielprev@gmail.com" TargetMode="Externa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1148</TotalTime>
  <Application>LibreOffice/7.4.4.2$Windows_X86_64 LibreOffice_project/85569322deea74ec9134968a29af2df5663baa21</Application>
  <AppVersion>15.0000</AppVersion>
  <Pages>19</Pages>
  <Words>6970</Words>
  <Characters>39391</Characters>
  <CharactersWithSpaces>46063</CharactersWithSpaces>
  <Paragraphs>319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Ruth Barbara da Silwa Nascimento</dc:creator>
  <dc:description/>
  <dc:language>pt-BR</dc:language>
  <cp:lastModifiedBy/>
  <cp:lastPrinted>2024-11-18T15:26:27Z</cp:lastPrinted>
  <dcterms:modified xsi:type="dcterms:W3CDTF">2024-11-26T14:50:36Z</dcterms:modified>
  <cp:revision>126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